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D0CE8" w14:textId="77777777" w:rsidR="000B348A" w:rsidRDefault="000B348A" w:rsidP="000B348A">
      <w:pPr>
        <w:rPr>
          <w:rStyle w:val="IntenseReference"/>
        </w:rPr>
      </w:pPr>
    </w:p>
    <w:p w14:paraId="4FD51BB0" w14:textId="77777777" w:rsidR="000B348A" w:rsidRPr="000B348A" w:rsidRDefault="000B348A" w:rsidP="000B348A">
      <w:pPr>
        <w:rPr>
          <w:rStyle w:val="IntenseReference"/>
        </w:rPr>
      </w:pPr>
      <w:r w:rsidRPr="00A4080F">
        <w:rPr>
          <w:rFonts w:ascii="Arial" w:eastAsia="Arial" w:hAnsi="Arial" w:cs="Arial"/>
          <w:b/>
          <w:sz w:val="20"/>
          <w:szCs w:val="20"/>
        </w:rPr>
        <w:t xml:space="preserve">Table 1. </w:t>
      </w:r>
      <w:r w:rsidRPr="00A4080F">
        <w:rPr>
          <w:rFonts w:ascii="Arial" w:eastAsia="Arial" w:hAnsi="Arial" w:cs="Arial"/>
          <w:sz w:val="20"/>
          <w:szCs w:val="20"/>
        </w:rPr>
        <w:t>List of potential key stakeholders and their possible contributions and roles in the proposed project.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127"/>
        <w:gridCol w:w="4111"/>
        <w:gridCol w:w="4110"/>
      </w:tblGrid>
      <w:tr w:rsidR="000B348A" w:rsidRPr="00A4080F" w14:paraId="55FC3098" w14:textId="77777777" w:rsidTr="000B348A">
        <w:tc>
          <w:tcPr>
            <w:tcW w:w="2127" w:type="dxa"/>
            <w:shd w:val="clear" w:color="auto" w:fill="E7E6E6" w:themeFill="background2"/>
          </w:tcPr>
          <w:p w14:paraId="3D940F12" w14:textId="77777777" w:rsidR="000B348A" w:rsidRPr="000B348A" w:rsidRDefault="000B348A" w:rsidP="000D67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48A">
              <w:rPr>
                <w:rFonts w:ascii="Arial" w:eastAsia="Arial" w:hAnsi="Arial" w:cs="Arial"/>
                <w:b/>
                <w:sz w:val="20"/>
                <w:szCs w:val="20"/>
              </w:rPr>
              <w:t>Stakeholder type</w:t>
            </w:r>
          </w:p>
        </w:tc>
        <w:tc>
          <w:tcPr>
            <w:tcW w:w="4111" w:type="dxa"/>
            <w:shd w:val="clear" w:color="auto" w:fill="E7E6E6" w:themeFill="background2"/>
          </w:tcPr>
          <w:p w14:paraId="74130119" w14:textId="77777777" w:rsidR="000B348A" w:rsidRPr="000B348A" w:rsidRDefault="000B348A" w:rsidP="000D67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48A">
              <w:rPr>
                <w:rFonts w:ascii="Arial" w:eastAsia="Arial" w:hAnsi="Arial" w:cs="Arial"/>
                <w:b/>
                <w:sz w:val="20"/>
                <w:szCs w:val="20"/>
              </w:rPr>
              <w:t>Stakeholder list</w:t>
            </w:r>
          </w:p>
        </w:tc>
        <w:tc>
          <w:tcPr>
            <w:tcW w:w="4110" w:type="dxa"/>
            <w:shd w:val="clear" w:color="auto" w:fill="E7E6E6" w:themeFill="background2"/>
          </w:tcPr>
          <w:p w14:paraId="181E1AF0" w14:textId="77777777" w:rsidR="000B348A" w:rsidRPr="000B348A" w:rsidRDefault="000B348A" w:rsidP="000D67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48A">
              <w:rPr>
                <w:rFonts w:ascii="Arial" w:eastAsia="Arial" w:hAnsi="Arial" w:cs="Arial"/>
                <w:b/>
                <w:sz w:val="20"/>
                <w:szCs w:val="20"/>
              </w:rPr>
              <w:t>Possible contributions and roles in the project</w:t>
            </w:r>
          </w:p>
        </w:tc>
      </w:tr>
      <w:tr w:rsidR="000B348A" w:rsidRPr="00A4080F" w14:paraId="7BAAAD64" w14:textId="77777777" w:rsidTr="000D67B3">
        <w:tc>
          <w:tcPr>
            <w:tcW w:w="2127" w:type="dxa"/>
          </w:tcPr>
          <w:p w14:paraId="46E11507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Government ministries (at central and provincial levels)</w:t>
            </w:r>
          </w:p>
        </w:tc>
        <w:tc>
          <w:tcPr>
            <w:tcW w:w="4111" w:type="dxa"/>
          </w:tcPr>
          <w:p w14:paraId="43F09744" w14:textId="77777777" w:rsidR="000B348A" w:rsidRPr="00A4080F" w:rsidRDefault="000B348A" w:rsidP="000B34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Viet Nam</w:t>
            </w:r>
            <w:r w:rsidRPr="00A4080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7FE7F0DA" w14:textId="77777777" w:rsidR="000B348A" w:rsidRPr="00A4080F" w:rsidRDefault="000B348A" w:rsidP="000B348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MARD– Department of Aquaculture (seaweed production; sector planning); Department of Capture Fisheries (MPAs) </w:t>
            </w:r>
          </w:p>
          <w:p w14:paraId="000FE3A5" w14:textId="77777777" w:rsidR="000B348A" w:rsidRPr="00A4080F" w:rsidRDefault="000B348A" w:rsidP="000B348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MONRE – </w:t>
            </w:r>
            <w:r>
              <w:rPr>
                <w:rFonts w:ascii="Arial" w:eastAsia="Arial" w:hAnsi="Arial" w:cs="Arial"/>
                <w:sz w:val="20"/>
                <w:szCs w:val="20"/>
              </w:rPr>
              <w:t>Viet Nam</w:t>
            </w:r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 Administration of Seas and Islands (VASI); </w:t>
            </w:r>
            <w:r>
              <w:rPr>
                <w:rFonts w:ascii="Arial" w:eastAsia="Arial" w:hAnsi="Arial" w:cs="Arial"/>
                <w:sz w:val="20"/>
                <w:szCs w:val="20"/>
              </w:rPr>
              <w:t>Viet Nam</w:t>
            </w:r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 Institute of Seas and Islands (VISI)</w:t>
            </w:r>
          </w:p>
          <w:p w14:paraId="7C9CDB92" w14:textId="77777777" w:rsidR="000B348A" w:rsidRPr="00A4080F" w:rsidRDefault="000B348A" w:rsidP="000B34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b/>
                <w:sz w:val="20"/>
                <w:szCs w:val="20"/>
              </w:rPr>
              <w:t>Philippines:</w:t>
            </w:r>
          </w:p>
          <w:p w14:paraId="28A07DCE" w14:textId="77777777" w:rsidR="000B348A" w:rsidRPr="00A4080F" w:rsidRDefault="000B348A" w:rsidP="000B348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BFAR</w:t>
            </w:r>
          </w:p>
        </w:tc>
        <w:tc>
          <w:tcPr>
            <w:tcW w:w="4110" w:type="dxa"/>
          </w:tcPr>
          <w:p w14:paraId="30072293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Beneficiaries of capacity-building; national coordination of activities; input to seaweed development plan and other national plans/coordination mechanisms.</w:t>
            </w:r>
          </w:p>
          <w:p w14:paraId="1CC639F8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348A" w:rsidRPr="00A4080F" w14:paraId="58CF9070" w14:textId="77777777" w:rsidTr="000D67B3">
        <w:tc>
          <w:tcPr>
            <w:tcW w:w="2127" w:type="dxa"/>
          </w:tcPr>
          <w:p w14:paraId="5DCACE69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Community-level stakeholders</w:t>
            </w:r>
          </w:p>
        </w:tc>
        <w:tc>
          <w:tcPr>
            <w:tcW w:w="4111" w:type="dxa"/>
          </w:tcPr>
          <w:p w14:paraId="485D805D" w14:textId="77777777" w:rsidR="000B348A" w:rsidRPr="00A4080F" w:rsidRDefault="000B348A" w:rsidP="000B34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Coastal communities and seaweed farmers, including </w:t>
            </w:r>
            <w:proofErr w:type="gramStart"/>
            <w:r w:rsidRPr="00A4080F">
              <w:rPr>
                <w:rFonts w:ascii="Arial" w:eastAsia="Arial" w:hAnsi="Arial" w:cs="Arial"/>
                <w:sz w:val="20"/>
                <w:szCs w:val="20"/>
              </w:rPr>
              <w:t>women</w:t>
            </w:r>
            <w:proofErr w:type="gramEnd"/>
          </w:p>
          <w:p w14:paraId="4612510B" w14:textId="77777777" w:rsidR="000B348A" w:rsidRPr="00A4080F" w:rsidRDefault="000B348A" w:rsidP="000B3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Seaweed cooperatives</w:t>
            </w:r>
          </w:p>
          <w:p w14:paraId="47BBE3FE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E266EAE" w14:textId="77777777" w:rsidR="000B348A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Seaweed Industry Association of the Philippines (SIAP)</w:t>
            </w:r>
          </w:p>
          <w:p w14:paraId="7370AFCC" w14:textId="77777777" w:rsidR="000B348A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1513DA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Marine Aquaculture Association of Viet Nam</w:t>
            </w:r>
          </w:p>
          <w:p w14:paraId="54A77E04" w14:textId="77777777" w:rsidR="000B348A" w:rsidRPr="00A4080F" w:rsidRDefault="000B348A" w:rsidP="000B34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9A47E7" w14:textId="77777777" w:rsidR="000B348A" w:rsidRPr="00A4080F" w:rsidRDefault="000B348A" w:rsidP="000B34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CBOs</w:t>
            </w:r>
          </w:p>
        </w:tc>
        <w:tc>
          <w:tcPr>
            <w:tcW w:w="4110" w:type="dxa"/>
          </w:tcPr>
          <w:p w14:paraId="11C54AB4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Delivery of project activities (demonstration farms under Component 3); beneficiaries of strengthened seaweed industry and technologies </w:t>
            </w:r>
          </w:p>
        </w:tc>
      </w:tr>
      <w:tr w:rsidR="000B348A" w:rsidRPr="00A4080F" w14:paraId="36361F2B" w14:textId="77777777" w:rsidTr="000D67B3">
        <w:tc>
          <w:tcPr>
            <w:tcW w:w="2127" w:type="dxa"/>
          </w:tcPr>
          <w:p w14:paraId="2DE5099B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CSOs</w:t>
            </w:r>
          </w:p>
        </w:tc>
        <w:tc>
          <w:tcPr>
            <w:tcW w:w="4111" w:type="dxa"/>
          </w:tcPr>
          <w:p w14:paraId="46AE4EE2" w14:textId="77777777" w:rsidR="000B348A" w:rsidRPr="00A4080F" w:rsidRDefault="000B348A" w:rsidP="000B34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A4080F">
              <w:rPr>
                <w:rFonts w:ascii="Arial" w:eastAsia="Arial" w:hAnsi="Arial" w:cs="Arial"/>
                <w:sz w:val="20"/>
                <w:szCs w:val="20"/>
              </w:rPr>
              <w:t>World Wide</w:t>
            </w:r>
            <w:proofErr w:type="gramEnd"/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 Fund for Nature (WWF) </w:t>
            </w:r>
            <w:r>
              <w:rPr>
                <w:rFonts w:ascii="Arial" w:eastAsia="Arial" w:hAnsi="Arial" w:cs="Arial"/>
                <w:sz w:val="20"/>
                <w:szCs w:val="20"/>
              </w:rPr>
              <w:t>Viet Nam</w:t>
            </w:r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 and WWF Philippines </w:t>
            </w:r>
          </w:p>
          <w:p w14:paraId="28150A32" w14:textId="77777777" w:rsidR="000B348A" w:rsidRPr="00A4080F" w:rsidRDefault="000B348A" w:rsidP="000B34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MCD</w:t>
            </w:r>
          </w:p>
          <w:p w14:paraId="4A34EEB0" w14:textId="77777777" w:rsidR="000B348A" w:rsidRPr="00A4080F" w:rsidRDefault="000B348A" w:rsidP="000B34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ICAFIS </w:t>
            </w:r>
          </w:p>
        </w:tc>
        <w:tc>
          <w:tcPr>
            <w:tcW w:w="4110" w:type="dxa"/>
          </w:tcPr>
          <w:p w14:paraId="6BB5BD90" w14:textId="66D3C3B3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Provision of technical advice; delivery of training and assets; social mobilization; monitoring of ecological conditions.</w:t>
            </w:r>
          </w:p>
        </w:tc>
      </w:tr>
      <w:tr w:rsidR="000B348A" w:rsidRPr="00A4080F" w14:paraId="12008B81" w14:textId="77777777" w:rsidTr="000D67B3">
        <w:tc>
          <w:tcPr>
            <w:tcW w:w="2127" w:type="dxa"/>
          </w:tcPr>
          <w:p w14:paraId="55569727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Private Sector</w:t>
            </w:r>
          </w:p>
        </w:tc>
        <w:tc>
          <w:tcPr>
            <w:tcW w:w="4111" w:type="dxa"/>
          </w:tcPr>
          <w:p w14:paraId="75F18789" w14:textId="77777777" w:rsidR="000B348A" w:rsidRPr="00A4080F" w:rsidRDefault="000B348A" w:rsidP="000B34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Cargill, Mars, Nestle</w:t>
            </w:r>
          </w:p>
        </w:tc>
        <w:tc>
          <w:tcPr>
            <w:tcW w:w="4110" w:type="dxa"/>
          </w:tcPr>
          <w:p w14:paraId="4DE980D7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Will help advance new value chains at the global level, may help finance bankable proposals towards biorefinery. Will be actively engaged in the Global Seaweed Coalition. </w:t>
            </w:r>
          </w:p>
        </w:tc>
      </w:tr>
      <w:tr w:rsidR="00967647" w:rsidRPr="00A4080F" w14:paraId="3ED7BF66" w14:textId="77777777" w:rsidTr="000D67B3">
        <w:tc>
          <w:tcPr>
            <w:tcW w:w="2127" w:type="dxa"/>
          </w:tcPr>
          <w:p w14:paraId="586C3585" w14:textId="5FD54168" w:rsidR="00967647" w:rsidRPr="00A4080F" w:rsidRDefault="00967647" w:rsidP="009676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Research institutions</w:t>
            </w:r>
          </w:p>
        </w:tc>
        <w:tc>
          <w:tcPr>
            <w:tcW w:w="4111" w:type="dxa"/>
          </w:tcPr>
          <w:p w14:paraId="133B0D73" w14:textId="77777777" w:rsidR="00967647" w:rsidRPr="00E5309C" w:rsidRDefault="00967647" w:rsidP="009676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Viet Nam</w:t>
            </w:r>
            <w:r w:rsidRPr="00A4080F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Hai </w:t>
            </w:r>
            <w:proofErr w:type="spellStart"/>
            <w:r w:rsidRPr="00A4080F">
              <w:rPr>
                <w:rFonts w:ascii="Arial" w:eastAsia="Arial" w:hAnsi="Arial" w:cs="Arial"/>
                <w:sz w:val="20"/>
                <w:szCs w:val="20"/>
              </w:rPr>
              <w:t>Phong</w:t>
            </w:r>
            <w:proofErr w:type="spellEnd"/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 Institute of Natural Resources and Environment, Institute of Biotechnology, </w:t>
            </w:r>
            <w:proofErr w:type="spellStart"/>
            <w:r w:rsidRPr="00A4080F">
              <w:rPr>
                <w:rFonts w:ascii="Arial" w:eastAsia="Arial" w:hAnsi="Arial" w:cs="Arial"/>
                <w:sz w:val="20"/>
                <w:szCs w:val="20"/>
              </w:rPr>
              <w:t>Nha</w:t>
            </w:r>
            <w:proofErr w:type="spellEnd"/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 Trang Oceanography Institute, </w:t>
            </w:r>
            <w:proofErr w:type="spellStart"/>
            <w:r w:rsidRPr="00A4080F">
              <w:rPr>
                <w:rFonts w:ascii="Arial" w:eastAsia="Arial" w:hAnsi="Arial" w:cs="Arial"/>
                <w:sz w:val="20"/>
                <w:szCs w:val="20"/>
              </w:rPr>
              <w:t>Nha</w:t>
            </w:r>
            <w:proofErr w:type="spellEnd"/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 Trang Institute of Technology Research and Application (</w:t>
            </w:r>
            <w:r>
              <w:rPr>
                <w:rFonts w:ascii="Arial" w:eastAsia="Arial" w:hAnsi="Arial" w:cs="Arial"/>
                <w:sz w:val="20"/>
                <w:szCs w:val="20"/>
              </w:rPr>
              <w:t>Viet Nam</w:t>
            </w:r>
            <w:r w:rsidRPr="00A4080F">
              <w:rPr>
                <w:rFonts w:ascii="Arial" w:eastAsia="Arial" w:hAnsi="Arial" w:cs="Arial"/>
                <w:sz w:val="20"/>
                <w:szCs w:val="20"/>
              </w:rPr>
              <w:t xml:space="preserve"> Academy of Science and Technology)</w:t>
            </w:r>
            <w:r>
              <w:rPr>
                <w:rFonts w:ascii="Arial" w:eastAsia="Arial" w:hAnsi="Arial" w:cs="Arial"/>
                <w:sz w:val="20"/>
                <w:szCs w:val="20"/>
              </w:rPr>
              <w:t>, Aquaculture Research Institutes I, II and III; Seafood Research Institute.</w:t>
            </w:r>
          </w:p>
          <w:p w14:paraId="4A4E1C43" w14:textId="5B7FA002" w:rsidR="00967647" w:rsidRPr="00A4080F" w:rsidRDefault="00967647" w:rsidP="009676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Philippines: </w:t>
            </w:r>
            <w:r w:rsidRPr="00E5309C">
              <w:rPr>
                <w:rFonts w:ascii="Arial" w:eastAsia="Arial" w:hAnsi="Arial" w:cs="Arial"/>
                <w:bCs/>
                <w:sz w:val="20"/>
                <w:szCs w:val="20"/>
              </w:rPr>
              <w:t>relevant research institutions</w:t>
            </w:r>
            <w:r w:rsidRPr="00C60089">
              <w:rPr>
                <w:rFonts w:ascii="Arial" w:eastAsia="Arial" w:hAnsi="Arial" w:cs="Arial"/>
                <w:bCs/>
                <w:sz w:val="20"/>
                <w:szCs w:val="20"/>
              </w:rPr>
              <w:t xml:space="preserve"> will be identified and engaged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(UP Marine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 xml:space="preserve">Science Institute, BFAR, National Fisheries Research Development Institute, University of San Carlos, Mindanao State University-TCTO. </w:t>
            </w:r>
            <w:r w:rsidRPr="0025766F">
              <w:rPr>
                <w:rFonts w:ascii="Arial" w:eastAsia="Arial" w:hAnsi="Arial" w:cs="Arial"/>
                <w:bCs/>
                <w:sz w:val="20"/>
                <w:szCs w:val="20"/>
              </w:rPr>
              <w:t>SEAFDEC/AQD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319F143A" w14:textId="4A2A6583" w:rsidR="00967647" w:rsidRPr="00A4080F" w:rsidRDefault="00967647" w:rsidP="009676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lastRenderedPageBreak/>
              <w:t>Provision of scientific support; undertaking of research activities related to seaweed production and processing technologies.</w:t>
            </w:r>
          </w:p>
        </w:tc>
      </w:tr>
    </w:tbl>
    <w:p w14:paraId="4D1C77C2" w14:textId="77777777" w:rsidR="004E209B" w:rsidRDefault="004E209B"/>
    <w:sectPr w:rsidR="004E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17DA0"/>
    <w:multiLevelType w:val="multilevel"/>
    <w:tmpl w:val="721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65233"/>
    <w:multiLevelType w:val="multilevel"/>
    <w:tmpl w:val="601A1B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2A2CF7"/>
    <w:multiLevelType w:val="multilevel"/>
    <w:tmpl w:val="7AACA4E6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8A"/>
    <w:rsid w:val="000B348A"/>
    <w:rsid w:val="004E209B"/>
    <w:rsid w:val="0096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6E927"/>
  <w15:chartTrackingRefBased/>
  <w15:docId w15:val="{2C44760F-E699-4212-A808-7862B626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ain numbered paragraph,List Paragraph (numbered (a)),Normal 2,References,List_Paragraph,Multilevel para_II,List Paragraph1,Numbered List Paragraph,Bullets,Colorful List - Accent 11,123 List Paragraph,Body,Bullet,Normal 2 DC,Liste 1,ANNEX"/>
    <w:basedOn w:val="Normal"/>
    <w:link w:val="ListParagraphChar"/>
    <w:uiPriority w:val="34"/>
    <w:qFormat/>
    <w:rsid w:val="000B348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0B348A"/>
    <w:rPr>
      <w:b/>
      <w:bCs/>
      <w:smallCaps/>
      <w:color w:val="4472C4" w:themeColor="accent1"/>
      <w:spacing w:val="5"/>
    </w:rPr>
  </w:style>
  <w:style w:type="character" w:customStyle="1" w:styleId="ListParagraphChar">
    <w:name w:val="List Paragraph Char"/>
    <w:aliases w:val="Main numbered paragraph Char,List Paragraph (numbered (a)) Char,Normal 2 Char,References Char,List_Paragraph Char,Multilevel para_II Char,List Paragraph1 Char,Numbered List Paragraph Char,Bullets Char,Colorful List - Accent 11 Char"/>
    <w:basedOn w:val="DefaultParagraphFont"/>
    <w:link w:val="ListParagraph"/>
    <w:uiPriority w:val="34"/>
    <w:locked/>
    <w:rsid w:val="000B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Trudeau, Jacquelyn</dc:creator>
  <cp:keywords/>
  <dc:description/>
  <cp:lastModifiedBy>Trudeau, Jacquelyn</cp:lastModifiedBy>
  <cp:revision>2</cp:revision>
  <dcterms:created xsi:type="dcterms:W3CDTF">2021-02-02T17:20:00Z</dcterms:created>
  <dcterms:modified xsi:type="dcterms:W3CDTF">2021-02-02T17:39:00Z</dcterms:modified>
</cp:coreProperties>
</file>