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FD7F8" w14:textId="72D8E8D2" w:rsidR="00E4191F" w:rsidRPr="00E4191F" w:rsidRDefault="00E4191F" w:rsidP="00E4191F">
      <w:pPr>
        <w:spacing w:after="0"/>
        <w:jc w:val="center"/>
        <w:rPr>
          <w:b/>
          <w:sz w:val="28"/>
          <w:szCs w:val="28"/>
          <w:u w:val="single"/>
        </w:rPr>
      </w:pPr>
      <w:r w:rsidRPr="00E4191F">
        <w:rPr>
          <w:b/>
          <w:sz w:val="28"/>
          <w:szCs w:val="28"/>
          <w:u w:val="single"/>
        </w:rPr>
        <w:t>WWF</w:t>
      </w:r>
      <w:r>
        <w:rPr>
          <w:b/>
          <w:sz w:val="28"/>
          <w:szCs w:val="28"/>
          <w:u w:val="single"/>
        </w:rPr>
        <w:t xml:space="preserve"> </w:t>
      </w:r>
      <w:r w:rsidRPr="00E4191F">
        <w:rPr>
          <w:b/>
          <w:sz w:val="28"/>
          <w:szCs w:val="28"/>
          <w:u w:val="single"/>
        </w:rPr>
        <w:t xml:space="preserve">GEF </w:t>
      </w:r>
      <w:r w:rsidR="006930AD">
        <w:rPr>
          <w:b/>
          <w:sz w:val="28"/>
          <w:szCs w:val="28"/>
          <w:u w:val="single"/>
        </w:rPr>
        <w:t xml:space="preserve">and GCF </w:t>
      </w:r>
      <w:r w:rsidRPr="00E4191F">
        <w:rPr>
          <w:b/>
          <w:sz w:val="28"/>
          <w:szCs w:val="28"/>
          <w:u w:val="single"/>
        </w:rPr>
        <w:t>Projects</w:t>
      </w:r>
    </w:p>
    <w:p w14:paraId="2E0D387C" w14:textId="77777777" w:rsidR="00161C0F" w:rsidRPr="00E4191F" w:rsidRDefault="00E4191F" w:rsidP="00E4191F">
      <w:pPr>
        <w:spacing w:after="0"/>
        <w:jc w:val="center"/>
        <w:rPr>
          <w:b/>
          <w:sz w:val="28"/>
          <w:szCs w:val="28"/>
        </w:rPr>
      </w:pPr>
      <w:r>
        <w:rPr>
          <w:b/>
          <w:sz w:val="28"/>
          <w:szCs w:val="28"/>
        </w:rPr>
        <w:t>Guidance to D</w:t>
      </w:r>
      <w:r w:rsidR="00921EC8" w:rsidRPr="00E4191F">
        <w:rPr>
          <w:b/>
          <w:sz w:val="28"/>
          <w:szCs w:val="28"/>
        </w:rPr>
        <w:t xml:space="preserve">evelop the </w:t>
      </w:r>
      <w:r>
        <w:rPr>
          <w:b/>
          <w:sz w:val="28"/>
          <w:szCs w:val="28"/>
        </w:rPr>
        <w:t xml:space="preserve">Gender Mainstreaming </w:t>
      </w:r>
      <w:r w:rsidR="00921EC8" w:rsidRPr="00E4191F">
        <w:rPr>
          <w:b/>
          <w:sz w:val="28"/>
          <w:szCs w:val="28"/>
        </w:rPr>
        <w:t>Action Plan</w:t>
      </w:r>
    </w:p>
    <w:p w14:paraId="4C3CBC65" w14:textId="77777777" w:rsidR="00921EC8" w:rsidRDefault="00921EC8"/>
    <w:p w14:paraId="5114563E" w14:textId="3B58B36C" w:rsidR="00E4191F" w:rsidRDefault="00E4191F" w:rsidP="00051467">
      <w:pPr>
        <w:jc w:val="both"/>
      </w:pPr>
      <w:r>
        <w:t>This document guide</w:t>
      </w:r>
      <w:r w:rsidR="00192E66">
        <w:t>s</w:t>
      </w:r>
      <w:r>
        <w:t xml:space="preserve"> the development of </w:t>
      </w:r>
      <w:r w:rsidR="007E781D">
        <w:t xml:space="preserve">a </w:t>
      </w:r>
      <w:r w:rsidR="00A25B73">
        <w:t xml:space="preserve">GEF </w:t>
      </w:r>
      <w:r w:rsidR="006930AD">
        <w:t xml:space="preserve">or GCF </w:t>
      </w:r>
      <w:r>
        <w:t xml:space="preserve">Project Gender Mainstreaming </w:t>
      </w:r>
      <w:r w:rsidR="00A25B73">
        <w:t>A</w:t>
      </w:r>
      <w:r>
        <w:t xml:space="preserve">ction Plan, based on the information </w:t>
      </w:r>
      <w:r w:rsidR="00A25B73">
        <w:t xml:space="preserve">obtained </w:t>
      </w:r>
      <w:r>
        <w:t xml:space="preserve">in the </w:t>
      </w:r>
      <w:r w:rsidR="006930AD">
        <w:t>concept note/</w:t>
      </w:r>
      <w:r>
        <w:t xml:space="preserve">PIF </w:t>
      </w:r>
      <w:r w:rsidR="00192E66">
        <w:t xml:space="preserve">stage Gender Desktop </w:t>
      </w:r>
      <w:r w:rsidR="00A25B73">
        <w:t>review</w:t>
      </w:r>
      <w:r>
        <w:t xml:space="preserve">, </w:t>
      </w:r>
      <w:r w:rsidR="00A25B73">
        <w:t xml:space="preserve">Stakeholder </w:t>
      </w:r>
      <w:r>
        <w:t>Consultation</w:t>
      </w:r>
      <w:r w:rsidR="006930AD">
        <w:t>s</w:t>
      </w:r>
      <w:r w:rsidR="00192E66">
        <w:t>,</w:t>
      </w:r>
      <w:r w:rsidR="00A25B73">
        <w:t xml:space="preserve"> and the Gender Analysis.  At a minimum, </w:t>
      </w:r>
      <w:r w:rsidR="00192E66">
        <w:t xml:space="preserve">the </w:t>
      </w:r>
      <w:r w:rsidR="00A25B73">
        <w:t>Action Pl</w:t>
      </w:r>
      <w:r w:rsidR="00813B4B">
        <w:t>an should contain the sections described below</w:t>
      </w:r>
      <w:r w:rsidR="008F0322">
        <w:t>.</w:t>
      </w:r>
    </w:p>
    <w:p w14:paraId="143D636A" w14:textId="77777777" w:rsidR="008B2D85" w:rsidRPr="008B2D85" w:rsidRDefault="00921EC8" w:rsidP="00051467">
      <w:pPr>
        <w:pStyle w:val="ListParagraph"/>
        <w:numPr>
          <w:ilvl w:val="0"/>
          <w:numId w:val="5"/>
        </w:numPr>
        <w:jc w:val="both"/>
        <w:rPr>
          <w:b/>
        </w:rPr>
      </w:pPr>
      <w:r w:rsidRPr="008B2D85">
        <w:rPr>
          <w:b/>
        </w:rPr>
        <w:t xml:space="preserve">Brief </w:t>
      </w:r>
      <w:r w:rsidR="00813B4B" w:rsidRPr="008B2D85">
        <w:rPr>
          <w:b/>
        </w:rPr>
        <w:t xml:space="preserve">Project </w:t>
      </w:r>
      <w:r w:rsidRPr="008B2D85">
        <w:rPr>
          <w:b/>
        </w:rPr>
        <w:t>introduction</w:t>
      </w:r>
      <w:r w:rsidR="00B67672" w:rsidRPr="008B2D85">
        <w:rPr>
          <w:b/>
        </w:rPr>
        <w:t>, its m</w:t>
      </w:r>
      <w:r w:rsidR="00813B4B" w:rsidRPr="008B2D85">
        <w:rPr>
          <w:b/>
        </w:rPr>
        <w:t>ain goal and objectives</w:t>
      </w:r>
      <w:r w:rsidR="00C66210">
        <w:rPr>
          <w:b/>
        </w:rPr>
        <w:t>:</w:t>
      </w:r>
      <w:r w:rsidR="005E37B8" w:rsidRPr="008B2D85">
        <w:rPr>
          <w:b/>
        </w:rPr>
        <w:t xml:space="preserve"> </w:t>
      </w:r>
    </w:p>
    <w:p w14:paraId="121B99A6" w14:textId="31654A7C" w:rsidR="005E37B8" w:rsidRPr="008B2D85" w:rsidRDefault="005E37B8" w:rsidP="00051467">
      <w:pPr>
        <w:jc w:val="both"/>
        <w:rPr>
          <w:b/>
        </w:rPr>
      </w:pPr>
      <w:r w:rsidRPr="005E37B8">
        <w:t xml:space="preserve">This information can be summarized from your </w:t>
      </w:r>
      <w:r w:rsidR="006930AD">
        <w:t>project document</w:t>
      </w:r>
      <w:r>
        <w:t>.</w:t>
      </w:r>
      <w:r w:rsidR="009C0B72" w:rsidRPr="009C0B72">
        <w:t xml:space="preserve"> </w:t>
      </w:r>
      <w:r w:rsidR="009C0B72">
        <w:t>Describe a</w:t>
      </w:r>
      <w:r w:rsidR="009C0B72" w:rsidRPr="009C0B72">
        <w:t xml:space="preserve"> clear vision of desired gender impacts, </w:t>
      </w:r>
      <w:r w:rsidR="009C0B72">
        <w:t>as well as a</w:t>
      </w:r>
      <w:r w:rsidR="009C0B72" w:rsidRPr="009C0B72">
        <w:t xml:space="preserve"> set </w:t>
      </w:r>
      <w:r w:rsidR="006930AD">
        <w:t xml:space="preserve">of </w:t>
      </w:r>
      <w:r w:rsidR="009C0B72" w:rsidRPr="009C0B72">
        <w:t>realistic targets</w:t>
      </w:r>
      <w:r w:rsidR="006930AD">
        <w:t>.</w:t>
      </w:r>
    </w:p>
    <w:p w14:paraId="47E23B5D" w14:textId="77777777" w:rsidR="00921EC8" w:rsidRPr="008B2D85" w:rsidRDefault="00B67672" w:rsidP="00051467">
      <w:pPr>
        <w:pStyle w:val="ListParagraph"/>
        <w:numPr>
          <w:ilvl w:val="0"/>
          <w:numId w:val="5"/>
        </w:numPr>
        <w:jc w:val="both"/>
        <w:rPr>
          <w:b/>
        </w:rPr>
      </w:pPr>
      <w:r w:rsidRPr="008B2D85">
        <w:rPr>
          <w:b/>
        </w:rPr>
        <w:t xml:space="preserve">General gender </w:t>
      </w:r>
      <w:r w:rsidR="006D4FA2" w:rsidRPr="008B2D85">
        <w:rPr>
          <w:b/>
        </w:rPr>
        <w:t xml:space="preserve">conditions in the Project </w:t>
      </w:r>
      <w:r w:rsidR="00921EC8" w:rsidRPr="008B2D85">
        <w:rPr>
          <w:b/>
        </w:rPr>
        <w:t>country</w:t>
      </w:r>
      <w:r w:rsidR="005E37B8" w:rsidRPr="008B2D85">
        <w:rPr>
          <w:b/>
        </w:rPr>
        <w:t>/countries or region</w:t>
      </w:r>
      <w:r w:rsidR="006D4FA2" w:rsidRPr="008B2D85">
        <w:rPr>
          <w:b/>
        </w:rPr>
        <w:t>:</w:t>
      </w:r>
    </w:p>
    <w:p w14:paraId="4D0C3241" w14:textId="0D1F8B52" w:rsidR="00EE6239" w:rsidRDefault="006D4FA2" w:rsidP="00051467">
      <w:pPr>
        <w:jc w:val="both"/>
      </w:pPr>
      <w:r>
        <w:t xml:space="preserve">This section should contain a broad overview of the gender-related issues and conditions in the country/region where the Project will be implemented.  </w:t>
      </w:r>
      <w:r w:rsidR="005E37B8">
        <w:t xml:space="preserve">You can refer to </w:t>
      </w:r>
      <w:r w:rsidR="00192E66">
        <w:t xml:space="preserve">the </w:t>
      </w:r>
      <w:r w:rsidR="006930AD">
        <w:t>concept note/</w:t>
      </w:r>
      <w:r w:rsidR="005E37B8">
        <w:t xml:space="preserve">PIF </w:t>
      </w:r>
      <w:r w:rsidR="00192E66">
        <w:t xml:space="preserve">stage </w:t>
      </w:r>
      <w:r w:rsidR="00192E66" w:rsidRPr="00D46C6A">
        <w:rPr>
          <w:i/>
        </w:rPr>
        <w:t>Gender D</w:t>
      </w:r>
      <w:r w:rsidR="005E37B8" w:rsidRPr="00D46C6A">
        <w:rPr>
          <w:i/>
        </w:rPr>
        <w:t>esk</w:t>
      </w:r>
      <w:r w:rsidR="00192E66" w:rsidRPr="00D46C6A">
        <w:rPr>
          <w:i/>
        </w:rPr>
        <w:t>top Review</w:t>
      </w:r>
      <w:r w:rsidR="005E37B8">
        <w:t xml:space="preserve"> to fill this section.</w:t>
      </w:r>
    </w:p>
    <w:p w14:paraId="67F0CECA" w14:textId="482870A4" w:rsidR="00921EC8" w:rsidRDefault="00192E66" w:rsidP="00051467">
      <w:pPr>
        <w:jc w:val="both"/>
      </w:pPr>
      <w:r>
        <w:t>I</w:t>
      </w:r>
      <w:r w:rsidR="005E37B8">
        <w:t xml:space="preserve">nformation </w:t>
      </w:r>
      <w:r>
        <w:t xml:space="preserve">in this section </w:t>
      </w:r>
      <w:r w:rsidR="005E37B8">
        <w:t xml:space="preserve">should include </w:t>
      </w:r>
      <w:r>
        <w:t xml:space="preserve">gender considerations for: </w:t>
      </w:r>
      <w:r w:rsidR="004B5041">
        <w:t xml:space="preserve">country-level </w:t>
      </w:r>
      <w:r w:rsidR="005E37B8">
        <w:t xml:space="preserve">policies, </w:t>
      </w:r>
      <w:r w:rsidR="006D4FA2">
        <w:t xml:space="preserve">level of education and literacy rates </w:t>
      </w:r>
      <w:r w:rsidR="005E37B8">
        <w:t>(urban vs. rural areas)</w:t>
      </w:r>
      <w:r w:rsidR="006D4FA2">
        <w:t xml:space="preserve">, </w:t>
      </w:r>
      <w:r w:rsidR="005E37B8">
        <w:t xml:space="preserve">poverty, labor force, political and decision-making power, health, access to resources, etc.  </w:t>
      </w:r>
    </w:p>
    <w:p w14:paraId="1C39F9CC" w14:textId="77777777" w:rsidR="00813B4B" w:rsidRPr="008B2D85" w:rsidRDefault="00921EC8" w:rsidP="00051467">
      <w:pPr>
        <w:pStyle w:val="ListParagraph"/>
        <w:numPr>
          <w:ilvl w:val="0"/>
          <w:numId w:val="5"/>
        </w:numPr>
        <w:jc w:val="both"/>
        <w:rPr>
          <w:b/>
        </w:rPr>
      </w:pPr>
      <w:r w:rsidRPr="008B2D85">
        <w:rPr>
          <w:b/>
        </w:rPr>
        <w:t>Project</w:t>
      </w:r>
      <w:r w:rsidR="00813B4B" w:rsidRPr="008B2D85">
        <w:rPr>
          <w:b/>
        </w:rPr>
        <w:t>-</w:t>
      </w:r>
      <w:r w:rsidRPr="008B2D85">
        <w:rPr>
          <w:b/>
        </w:rPr>
        <w:t xml:space="preserve">specific </w:t>
      </w:r>
      <w:r w:rsidR="00813B4B" w:rsidRPr="008B2D85">
        <w:rPr>
          <w:b/>
        </w:rPr>
        <w:t xml:space="preserve">gender </w:t>
      </w:r>
      <w:r w:rsidRPr="008B2D85">
        <w:rPr>
          <w:b/>
        </w:rPr>
        <w:t xml:space="preserve">information </w:t>
      </w:r>
      <w:r w:rsidR="00813B4B" w:rsidRPr="008B2D85">
        <w:rPr>
          <w:b/>
        </w:rPr>
        <w:t xml:space="preserve">and considerations: </w:t>
      </w:r>
    </w:p>
    <w:p w14:paraId="7730B57D" w14:textId="66FCED8F" w:rsidR="008B2D85" w:rsidRDefault="004B5041" w:rsidP="00051467">
      <w:pPr>
        <w:jc w:val="both"/>
      </w:pPr>
      <w:r>
        <w:t xml:space="preserve">This section should contain detailed information about gender considerations as they relate to </w:t>
      </w:r>
      <w:r w:rsidR="00192E66">
        <w:t xml:space="preserve">the </w:t>
      </w:r>
      <w:r w:rsidR="008B2D85">
        <w:t>p</w:t>
      </w:r>
      <w:r>
        <w:t>roject</w:t>
      </w:r>
      <w:r w:rsidR="008B2D85">
        <w:t xml:space="preserve"> context</w:t>
      </w:r>
      <w:r>
        <w:t xml:space="preserve">, </w:t>
      </w:r>
      <w:r w:rsidR="008B2D85">
        <w:t xml:space="preserve">according to the results obtained in </w:t>
      </w:r>
      <w:r w:rsidR="00192E66">
        <w:t xml:space="preserve">the </w:t>
      </w:r>
      <w:r w:rsidR="008B2D85">
        <w:t>Gender Analysis</w:t>
      </w:r>
      <w:r w:rsidR="00192E66">
        <w:t>, as well as</w:t>
      </w:r>
      <w:r w:rsidR="008B2D85">
        <w:t xml:space="preserve"> information gathered during the </w:t>
      </w:r>
      <w:r w:rsidR="006930AD">
        <w:t>concept note/</w:t>
      </w:r>
      <w:r w:rsidR="008B2D85">
        <w:t xml:space="preserve">PIF </w:t>
      </w:r>
      <w:r w:rsidR="00192E66">
        <w:t xml:space="preserve">stage Gender Desktop Analysis </w:t>
      </w:r>
      <w:r w:rsidR="008B2D85">
        <w:t>and Stakeholder Consultation</w:t>
      </w:r>
      <w:r w:rsidR="006930AD">
        <w:t>s</w:t>
      </w:r>
      <w:r w:rsidR="008B2D85">
        <w:t xml:space="preserve">.  </w:t>
      </w:r>
      <w:r w:rsidR="00192E66">
        <w:t>I</w:t>
      </w:r>
      <w:r w:rsidR="008B2D85">
        <w:t xml:space="preserve">nformation </w:t>
      </w:r>
      <w:r w:rsidR="00811B0F">
        <w:t xml:space="preserve">may </w:t>
      </w:r>
      <w:r w:rsidR="008B2D85">
        <w:t>include:</w:t>
      </w:r>
    </w:p>
    <w:p w14:paraId="22AF66F6" w14:textId="2331EC0A" w:rsidR="008B2D85" w:rsidRDefault="00D23E9F" w:rsidP="00D23E9F">
      <w:pPr>
        <w:pStyle w:val="ListParagraph"/>
        <w:numPr>
          <w:ilvl w:val="0"/>
          <w:numId w:val="8"/>
        </w:numPr>
        <w:jc w:val="both"/>
      </w:pPr>
      <w:r>
        <w:t>H</w:t>
      </w:r>
      <w:r w:rsidR="004B5041">
        <w:t xml:space="preserve">ow women and men may be impacted </w:t>
      </w:r>
      <w:r w:rsidR="00EE6239">
        <w:t xml:space="preserve">(positively or negatively) </w:t>
      </w:r>
      <w:r w:rsidR="004B5041">
        <w:t>by project activities</w:t>
      </w:r>
      <w:r w:rsidR="009D68C4">
        <w:t xml:space="preserve">? Will </w:t>
      </w:r>
      <w:r w:rsidR="00192E66">
        <w:t xml:space="preserve">the </w:t>
      </w:r>
      <w:r w:rsidR="009D68C4">
        <w:t>project have different impacts on men’s and women’s livelihoods?</w:t>
      </w:r>
    </w:p>
    <w:p w14:paraId="3E0DAA3C" w14:textId="4D390BCE" w:rsidR="009D68C4" w:rsidRDefault="003F4065" w:rsidP="00D23E9F">
      <w:pPr>
        <w:pStyle w:val="ListParagraph"/>
        <w:numPr>
          <w:ilvl w:val="0"/>
          <w:numId w:val="8"/>
        </w:numPr>
        <w:jc w:val="both"/>
      </w:pPr>
      <w:r>
        <w:t>H</w:t>
      </w:r>
      <w:r w:rsidR="009D68C4">
        <w:t>ow project activities may create opportunities for women or widen further inequalities?</w:t>
      </w:r>
    </w:p>
    <w:p w14:paraId="2D48827C" w14:textId="6D4C61FB" w:rsidR="00D15B53" w:rsidRDefault="003F4065" w:rsidP="00D23E9F">
      <w:pPr>
        <w:pStyle w:val="ListParagraph"/>
        <w:numPr>
          <w:ilvl w:val="0"/>
          <w:numId w:val="8"/>
        </w:numPr>
        <w:jc w:val="both"/>
      </w:pPr>
      <w:r>
        <w:t>H</w:t>
      </w:r>
      <w:r w:rsidR="009D68C4">
        <w:t xml:space="preserve">ow gender-related barriers may affect </w:t>
      </w:r>
      <w:r w:rsidR="00811B0F">
        <w:t xml:space="preserve">the </w:t>
      </w:r>
      <w:r w:rsidR="009D68C4">
        <w:t>project’s success or may limit men’s or women’s participation, decision-making influence or benefit sharing?</w:t>
      </w:r>
    </w:p>
    <w:p w14:paraId="51C29BD9" w14:textId="77777777" w:rsidR="009D68C4" w:rsidRDefault="009D68C4" w:rsidP="00D23E9F">
      <w:pPr>
        <w:pStyle w:val="ListParagraph"/>
        <w:numPr>
          <w:ilvl w:val="0"/>
          <w:numId w:val="8"/>
        </w:numPr>
        <w:jc w:val="both"/>
      </w:pPr>
      <w:r>
        <w:t>Etc.</w:t>
      </w:r>
    </w:p>
    <w:p w14:paraId="31E1B4A4" w14:textId="77777777" w:rsidR="007A47F8" w:rsidRDefault="007A47F8" w:rsidP="00051467">
      <w:pPr>
        <w:pStyle w:val="ListParagraph"/>
        <w:jc w:val="both"/>
        <w:rPr>
          <w:b/>
        </w:rPr>
      </w:pPr>
    </w:p>
    <w:p w14:paraId="3ADBC521" w14:textId="77777777" w:rsidR="004D6DA9" w:rsidRPr="008B2D85" w:rsidRDefault="00C66210" w:rsidP="00051467">
      <w:pPr>
        <w:pStyle w:val="ListParagraph"/>
        <w:numPr>
          <w:ilvl w:val="0"/>
          <w:numId w:val="5"/>
        </w:numPr>
        <w:jc w:val="both"/>
        <w:rPr>
          <w:b/>
        </w:rPr>
      </w:pPr>
      <w:r>
        <w:rPr>
          <w:b/>
        </w:rPr>
        <w:t xml:space="preserve">Describe </w:t>
      </w:r>
      <w:r w:rsidR="004D6DA9" w:rsidRPr="008B2D85">
        <w:rPr>
          <w:b/>
        </w:rPr>
        <w:t xml:space="preserve">Project-specific </w:t>
      </w:r>
      <w:r w:rsidR="00A306F2">
        <w:rPr>
          <w:b/>
        </w:rPr>
        <w:t>strategies</w:t>
      </w:r>
      <w:r>
        <w:rPr>
          <w:b/>
        </w:rPr>
        <w:t xml:space="preserve"> and </w:t>
      </w:r>
      <w:r w:rsidR="004D6DA9" w:rsidRPr="008B2D85">
        <w:rPr>
          <w:b/>
        </w:rPr>
        <w:t>o</w:t>
      </w:r>
      <w:r w:rsidR="00B67672" w:rsidRPr="008B2D85">
        <w:rPr>
          <w:b/>
        </w:rPr>
        <w:t>pportunities</w:t>
      </w:r>
      <w:r>
        <w:rPr>
          <w:b/>
        </w:rPr>
        <w:t xml:space="preserve"> for gender mainstreaming and desired impact</w:t>
      </w:r>
    </w:p>
    <w:p w14:paraId="1C265CC1" w14:textId="601D43FC" w:rsidR="001E2A84" w:rsidRDefault="00921EC8" w:rsidP="00051467">
      <w:pPr>
        <w:jc w:val="both"/>
      </w:pPr>
      <w:r>
        <w:t xml:space="preserve">According to </w:t>
      </w:r>
      <w:r w:rsidR="00811B0F">
        <w:t xml:space="preserve">the results of the </w:t>
      </w:r>
      <w:r>
        <w:t xml:space="preserve">Gender Analysis and </w:t>
      </w:r>
      <w:r w:rsidR="002C66E8">
        <w:t xml:space="preserve">considering the project </w:t>
      </w:r>
      <w:r w:rsidR="005321CB">
        <w:t xml:space="preserve">theory of change (ToC), </w:t>
      </w:r>
      <w:r w:rsidR="002C66E8">
        <w:t>components</w:t>
      </w:r>
      <w:r w:rsidR="005321CB">
        <w:t>, objectives and</w:t>
      </w:r>
      <w:r>
        <w:t xml:space="preserve"> </w:t>
      </w:r>
      <w:r w:rsidR="005321CB">
        <w:t xml:space="preserve">results framework, </w:t>
      </w:r>
      <w:r w:rsidR="002C66E8">
        <w:t>identify and discuss</w:t>
      </w:r>
      <w:r>
        <w:t xml:space="preserve"> the </w:t>
      </w:r>
      <w:r w:rsidR="00E4191F">
        <w:t xml:space="preserve">main </w:t>
      </w:r>
      <w:r w:rsidR="00191F46">
        <w:t xml:space="preserve">strategies </w:t>
      </w:r>
      <w:r w:rsidR="002C66E8">
        <w:t xml:space="preserve">the </w:t>
      </w:r>
      <w:r w:rsidR="00191F46">
        <w:t>project will employ to mainstream gender</w:t>
      </w:r>
      <w:r w:rsidR="00976F29">
        <w:t>, ensuring active and meaningful participation of both women and men, equal access to opportunities, resources</w:t>
      </w:r>
      <w:r w:rsidR="001E2A84">
        <w:t xml:space="preserve"> and benefits</w:t>
      </w:r>
      <w:r w:rsidR="007877AE">
        <w:t xml:space="preserve"> from the project</w:t>
      </w:r>
      <w:r w:rsidR="001E2A84">
        <w:t>, and to avoid perpetuating inequalities</w:t>
      </w:r>
      <w:r w:rsidR="00051467">
        <w:t xml:space="preserve"> that may have been identified</w:t>
      </w:r>
      <w:r w:rsidR="002C66E8">
        <w:t xml:space="preserve">.  </w:t>
      </w:r>
    </w:p>
    <w:p w14:paraId="10F4EC58" w14:textId="77777777" w:rsidR="00EF7C1C" w:rsidRDefault="00EF7C1C" w:rsidP="00EF7C1C">
      <w:pPr>
        <w:jc w:val="both"/>
      </w:pPr>
      <w:r>
        <w:t xml:space="preserve">Along with the gender mainstreaming strategies, consider the following: </w:t>
      </w:r>
    </w:p>
    <w:p w14:paraId="1F1B9F26" w14:textId="77777777" w:rsidR="00EF7C1C" w:rsidRDefault="00EF7C1C" w:rsidP="00EF7C1C">
      <w:pPr>
        <w:pStyle w:val="ListParagraph"/>
        <w:numPr>
          <w:ilvl w:val="0"/>
          <w:numId w:val="7"/>
        </w:numPr>
        <w:jc w:val="both"/>
      </w:pPr>
      <w:r>
        <w:lastRenderedPageBreak/>
        <w:t>Ensure a gender-responsive budget, which allows for sufficient institutional capabilities to effectively implement</w:t>
      </w:r>
      <w:r w:rsidRPr="000C75F1">
        <w:t xml:space="preserve"> </w:t>
      </w:r>
      <w:r>
        <w:t>gender-responsive activities, monitor and evaluate, and communicate about gender aspects of the project</w:t>
      </w:r>
    </w:p>
    <w:p w14:paraId="01B52A9B" w14:textId="77777777" w:rsidR="00EF7C1C" w:rsidRDefault="00EF7C1C" w:rsidP="00EF7C1C">
      <w:pPr>
        <w:pStyle w:val="ListParagraph"/>
        <w:numPr>
          <w:ilvl w:val="0"/>
          <w:numId w:val="7"/>
        </w:numPr>
        <w:jc w:val="both"/>
      </w:pPr>
      <w:r>
        <w:t xml:space="preserve">Provide staff with basic training on gender dimensions specific to the Project to increase understanding and capacity on gender mainstreaming for implementation </w:t>
      </w:r>
    </w:p>
    <w:p w14:paraId="1E303FD2" w14:textId="77777777" w:rsidR="00EF7C1C" w:rsidRDefault="00EF7C1C" w:rsidP="00EF7C1C">
      <w:pPr>
        <w:pStyle w:val="ListParagraph"/>
        <w:numPr>
          <w:ilvl w:val="0"/>
          <w:numId w:val="7"/>
        </w:numPr>
        <w:jc w:val="both"/>
      </w:pPr>
      <w:r>
        <w:t>Ensure that information regarding the project is accessible to both women and men equally</w:t>
      </w:r>
    </w:p>
    <w:p w14:paraId="3C0D2805" w14:textId="77777777" w:rsidR="00EF7C1C" w:rsidRDefault="00EF7C1C" w:rsidP="00EF7C1C">
      <w:pPr>
        <w:pStyle w:val="ListParagraph"/>
        <w:numPr>
          <w:ilvl w:val="0"/>
          <w:numId w:val="7"/>
        </w:numPr>
        <w:jc w:val="both"/>
      </w:pPr>
      <w:r>
        <w:t>Ensure project activities are accessible to women, taking into account location, timing, transportation issues, household responsibilities, permission from male family member(s), etc. which may affect their availability to attend/participate in project activities</w:t>
      </w:r>
    </w:p>
    <w:p w14:paraId="01066CD4" w14:textId="69803E00" w:rsidR="00EF7C1C" w:rsidRDefault="005321CB" w:rsidP="00051467">
      <w:pPr>
        <w:jc w:val="both"/>
      </w:pPr>
      <w:r w:rsidRPr="005321CB">
        <w:rPr>
          <w:b/>
          <w:bCs/>
        </w:rPr>
        <w:t>Note</w:t>
      </w:r>
      <w:r>
        <w:t>: The analysis of the various sources of gender-related data obtained through the desk study, gender assessment, stakeholder consultations, and considerations of the entry points for gender mainstreaming within the project (through the ToC, project objectives, results framework, etc…) can be represented in table form</w:t>
      </w:r>
      <w:r w:rsidR="00EF7C1C">
        <w:t xml:space="preserve"> as the </w:t>
      </w:r>
      <w:r w:rsidR="006930AD">
        <w:t xml:space="preserve">project’s </w:t>
      </w:r>
      <w:r w:rsidR="00EF7C1C">
        <w:t xml:space="preserve">Gender Action Plan, </w:t>
      </w:r>
      <w:r>
        <w:t xml:space="preserve">with headings such as: </w:t>
      </w:r>
      <w:r w:rsidR="00EF7C1C">
        <w:t xml:space="preserve">Proposed </w:t>
      </w:r>
      <w:r>
        <w:t>Activit</w:t>
      </w:r>
      <w:r w:rsidR="00EF7C1C">
        <w:t>y</w:t>
      </w:r>
      <w:r>
        <w:t xml:space="preserve">, Indicator, </w:t>
      </w:r>
      <w:r w:rsidR="00EF7C1C">
        <w:t>Baseline Data, Target, Responsible Entity, etc.</w:t>
      </w:r>
      <w:r w:rsidR="00B852B1">
        <w:t xml:space="preserve"> (See the sample table on page 4).</w:t>
      </w:r>
    </w:p>
    <w:p w14:paraId="38FE7646" w14:textId="204E6604" w:rsidR="005321CB" w:rsidRDefault="00EF7C1C" w:rsidP="00051467">
      <w:pPr>
        <w:jc w:val="both"/>
      </w:pPr>
      <w:r w:rsidRPr="00EF7C1C">
        <w:rPr>
          <w:b/>
          <w:bCs/>
        </w:rPr>
        <w:t>Important</w:t>
      </w:r>
      <w:r>
        <w:t xml:space="preserve">: Ensure that each gender-related activity belongs under a specific project component/objective in your Gender Action Plan table, and that gender-specific indicators and sex-disaggregated data are mainstreamed into the project’s Results Framework and Monitoring and Evaluation Plan. </w:t>
      </w:r>
    </w:p>
    <w:p w14:paraId="12AB89E0" w14:textId="77777777" w:rsidR="001F4B86" w:rsidRDefault="001F4B86" w:rsidP="001F4B86">
      <w:pPr>
        <w:pStyle w:val="ListParagraph"/>
        <w:jc w:val="both"/>
        <w:rPr>
          <w:b/>
        </w:rPr>
      </w:pPr>
    </w:p>
    <w:p w14:paraId="59D51FF4" w14:textId="77777777" w:rsidR="00E4191F" w:rsidRPr="007A47F8" w:rsidRDefault="000C75F1" w:rsidP="00051467">
      <w:pPr>
        <w:pStyle w:val="ListParagraph"/>
        <w:numPr>
          <w:ilvl w:val="0"/>
          <w:numId w:val="5"/>
        </w:numPr>
        <w:jc w:val="both"/>
        <w:rPr>
          <w:b/>
        </w:rPr>
      </w:pPr>
      <w:r>
        <w:rPr>
          <w:b/>
        </w:rPr>
        <w:t>Monitoring and evaluation of g</w:t>
      </w:r>
      <w:r w:rsidR="007A47F8" w:rsidRPr="007A47F8">
        <w:rPr>
          <w:b/>
        </w:rPr>
        <w:t xml:space="preserve">ender-responsive </w:t>
      </w:r>
      <w:r>
        <w:rPr>
          <w:b/>
        </w:rPr>
        <w:t>activities</w:t>
      </w:r>
      <w:r w:rsidR="007A47F8" w:rsidRPr="007A47F8">
        <w:rPr>
          <w:b/>
        </w:rPr>
        <w:t xml:space="preserve"> </w:t>
      </w:r>
    </w:p>
    <w:p w14:paraId="6037BBB7" w14:textId="69766699" w:rsidR="000C75F1" w:rsidRDefault="000C75F1" w:rsidP="00051467">
      <w:pPr>
        <w:jc w:val="both"/>
      </w:pPr>
      <w:r>
        <w:t xml:space="preserve">As </w:t>
      </w:r>
      <w:r w:rsidR="009C02C1">
        <w:t xml:space="preserve">in </w:t>
      </w:r>
      <w:r>
        <w:t>other component</w:t>
      </w:r>
      <w:r w:rsidR="009C02C1">
        <w:t>s</w:t>
      </w:r>
      <w:r>
        <w:t xml:space="preserve"> of the Project, the gender mainstreaming strategies need to be monitored on a regular basis to evaluate if the desired outcomes are being achieved</w:t>
      </w:r>
      <w:r w:rsidR="009C0B72">
        <w:t>,</w:t>
      </w:r>
      <w:r w:rsidR="009C02C1">
        <w:t xml:space="preserve"> and to determine </w:t>
      </w:r>
      <w:r w:rsidR="009C0B72">
        <w:t xml:space="preserve">whether </w:t>
      </w:r>
      <w:r w:rsidR="009C02C1">
        <w:t>adaptive mechanisms need to be developed if outcomes are not being reached</w:t>
      </w:r>
      <w:r>
        <w:t xml:space="preserve">. </w:t>
      </w:r>
      <w:r w:rsidR="00A306F2">
        <w:t xml:space="preserve">The </w:t>
      </w:r>
      <w:r w:rsidR="0012523F">
        <w:t xml:space="preserve">project </w:t>
      </w:r>
      <w:r w:rsidR="00A306F2">
        <w:t>should have a clear vision of desired gender impacts</w:t>
      </w:r>
      <w:r w:rsidR="009C0B72">
        <w:t xml:space="preserve"> and realistic targets</w:t>
      </w:r>
      <w:r w:rsidR="00321000">
        <w:t>,</w:t>
      </w:r>
      <w:r w:rsidR="00A74490">
        <w:t xml:space="preserve"> </w:t>
      </w:r>
      <w:r w:rsidR="00321000">
        <w:t xml:space="preserve">taking into account the </w:t>
      </w:r>
      <w:r w:rsidR="003F4065">
        <w:t xml:space="preserve">baseline data obtained </w:t>
      </w:r>
      <w:r w:rsidR="009C0B72">
        <w:t xml:space="preserve">through </w:t>
      </w:r>
      <w:r w:rsidR="003F4065">
        <w:t>the Gender Analysis</w:t>
      </w:r>
      <w:r w:rsidR="009C02C1">
        <w:t xml:space="preserve"> and other methods</w:t>
      </w:r>
      <w:r w:rsidR="00191F46">
        <w:t>.</w:t>
      </w:r>
    </w:p>
    <w:p w14:paraId="552940C8" w14:textId="6D4B56A3" w:rsidR="00467AC5" w:rsidRDefault="00467AC5" w:rsidP="00B80490">
      <w:pPr>
        <w:autoSpaceDE w:val="0"/>
        <w:autoSpaceDN w:val="0"/>
        <w:adjustRightInd w:val="0"/>
        <w:spacing w:after="0" w:line="276" w:lineRule="auto"/>
        <w:jc w:val="both"/>
        <w:rPr>
          <w:rFonts w:cstheme="minorHAnsi"/>
        </w:rPr>
      </w:pPr>
      <w:r>
        <w:rPr>
          <w:rFonts w:cstheme="minorHAnsi"/>
        </w:rPr>
        <w:t>G</w:t>
      </w:r>
      <w:r w:rsidR="007A47F8" w:rsidRPr="00FE4C71">
        <w:rPr>
          <w:rFonts w:cstheme="minorHAnsi"/>
        </w:rPr>
        <w:t xml:space="preserve">ender-responsive </w:t>
      </w:r>
      <w:r w:rsidR="000C75F1" w:rsidRPr="00FE4C71">
        <w:rPr>
          <w:rFonts w:cstheme="minorHAnsi"/>
        </w:rPr>
        <w:t xml:space="preserve">indicators </w:t>
      </w:r>
      <w:r>
        <w:rPr>
          <w:rFonts w:cstheme="minorHAnsi"/>
        </w:rPr>
        <w:t>can be developed at two levels:</w:t>
      </w:r>
    </w:p>
    <w:p w14:paraId="2AA728AD" w14:textId="015F8B27" w:rsidR="00467AC5" w:rsidRDefault="00467AC5" w:rsidP="00D46C6A">
      <w:pPr>
        <w:pStyle w:val="ListParagraph"/>
        <w:numPr>
          <w:ilvl w:val="0"/>
          <w:numId w:val="12"/>
        </w:numPr>
        <w:autoSpaceDE w:val="0"/>
        <w:autoSpaceDN w:val="0"/>
        <w:adjustRightInd w:val="0"/>
        <w:spacing w:after="0" w:line="276" w:lineRule="auto"/>
        <w:jc w:val="both"/>
        <w:rPr>
          <w:rFonts w:cstheme="minorHAnsi"/>
        </w:rPr>
      </w:pPr>
      <w:r w:rsidRPr="003564C0">
        <w:rPr>
          <w:rFonts w:cstheme="minorHAnsi"/>
          <w:u w:val="single"/>
        </w:rPr>
        <w:t>Output-level indicators</w:t>
      </w:r>
      <w:r>
        <w:rPr>
          <w:rFonts w:cstheme="minorHAnsi"/>
        </w:rPr>
        <w:t xml:space="preserve">: Output-level indicators may be developed to track progress of project activities and are tied to project outputs or activities (rather than project outcomes). Therefore, they are typically at the level of: # of women engaged in xx activity. While output-level indicators </w:t>
      </w:r>
      <w:r w:rsidR="003564C0">
        <w:rPr>
          <w:rFonts w:cstheme="minorHAnsi"/>
        </w:rPr>
        <w:t xml:space="preserve">may </w:t>
      </w:r>
      <w:r>
        <w:rPr>
          <w:rFonts w:cstheme="minorHAnsi"/>
        </w:rPr>
        <w:t xml:space="preserve">not </w:t>
      </w:r>
      <w:r w:rsidR="003564C0">
        <w:rPr>
          <w:rFonts w:cstheme="minorHAnsi"/>
        </w:rPr>
        <w:t xml:space="preserve">be </w:t>
      </w:r>
      <w:r>
        <w:rPr>
          <w:rFonts w:cstheme="minorHAnsi"/>
        </w:rPr>
        <w:t>submitted to the GEF</w:t>
      </w:r>
      <w:r w:rsidR="003564C0">
        <w:rPr>
          <w:rFonts w:cstheme="minorHAnsi"/>
        </w:rPr>
        <w:t>/GCF</w:t>
      </w:r>
      <w:r>
        <w:rPr>
          <w:rFonts w:cstheme="minorHAnsi"/>
        </w:rPr>
        <w:t>, they can provide input into annual reports to demonstrate gender mainstreaming within the project.</w:t>
      </w:r>
    </w:p>
    <w:p w14:paraId="69D03D87" w14:textId="2A63019E" w:rsidR="00467AC5" w:rsidRPr="00467AC5" w:rsidRDefault="00467AC5" w:rsidP="00D46C6A">
      <w:pPr>
        <w:pStyle w:val="ListParagraph"/>
        <w:numPr>
          <w:ilvl w:val="0"/>
          <w:numId w:val="12"/>
        </w:numPr>
        <w:autoSpaceDE w:val="0"/>
        <w:autoSpaceDN w:val="0"/>
        <w:adjustRightInd w:val="0"/>
        <w:spacing w:after="0" w:line="276" w:lineRule="auto"/>
        <w:jc w:val="both"/>
        <w:rPr>
          <w:rFonts w:cstheme="minorHAnsi"/>
        </w:rPr>
      </w:pPr>
      <w:r w:rsidRPr="003564C0">
        <w:rPr>
          <w:rFonts w:cstheme="minorHAnsi"/>
          <w:u w:val="single"/>
        </w:rPr>
        <w:t>Outcome or Objective level indicators</w:t>
      </w:r>
      <w:r>
        <w:rPr>
          <w:rFonts w:cstheme="minorHAnsi"/>
        </w:rPr>
        <w:t xml:space="preserve"> (see Results Framework): The Results Framework, which tracks project progress at the outcome and objective level, is submitted to the GEF. At this level, you may have gender-</w:t>
      </w:r>
      <w:r w:rsidR="000110AA">
        <w:rPr>
          <w:rFonts w:cstheme="minorHAnsi"/>
        </w:rPr>
        <w:t>specific</w:t>
      </w:r>
      <w:r>
        <w:rPr>
          <w:rFonts w:cstheme="minorHAnsi"/>
        </w:rPr>
        <w:t xml:space="preserve"> indicators, or you may have broader indicators that are disaggregated by sex. For instance, an indicator may be “% of consumers that associate palm oil with negative environmental impacts.” This indicator can be </w:t>
      </w:r>
      <w:r w:rsidR="000110AA">
        <w:rPr>
          <w:rFonts w:cstheme="minorHAnsi"/>
        </w:rPr>
        <w:t>disaggregated</w:t>
      </w:r>
      <w:r>
        <w:rPr>
          <w:rFonts w:cstheme="minorHAnsi"/>
        </w:rPr>
        <w:t xml:space="preserve"> by male and female consumers. </w:t>
      </w:r>
    </w:p>
    <w:p w14:paraId="74D54539" w14:textId="77777777" w:rsidR="00467AC5" w:rsidRDefault="00467AC5" w:rsidP="00B80490">
      <w:pPr>
        <w:autoSpaceDE w:val="0"/>
        <w:autoSpaceDN w:val="0"/>
        <w:adjustRightInd w:val="0"/>
        <w:spacing w:after="0" w:line="276" w:lineRule="auto"/>
        <w:jc w:val="both"/>
        <w:rPr>
          <w:rFonts w:cstheme="minorHAnsi"/>
        </w:rPr>
      </w:pPr>
    </w:p>
    <w:p w14:paraId="733138DA" w14:textId="77777777" w:rsidR="00A74490" w:rsidRDefault="00467AC5" w:rsidP="00B80490">
      <w:pPr>
        <w:autoSpaceDE w:val="0"/>
        <w:autoSpaceDN w:val="0"/>
        <w:adjustRightInd w:val="0"/>
        <w:spacing w:after="0" w:line="276" w:lineRule="auto"/>
        <w:jc w:val="both"/>
        <w:rPr>
          <w:rFonts w:cstheme="minorHAnsi"/>
        </w:rPr>
      </w:pPr>
      <w:r>
        <w:rPr>
          <w:rFonts w:cstheme="minorHAnsi"/>
        </w:rPr>
        <w:t xml:space="preserve">A combination of output and outcome/objective level indicators may be helpful. </w:t>
      </w:r>
      <w:r w:rsidR="00FE4C71">
        <w:rPr>
          <w:rFonts w:cstheme="minorHAnsi"/>
        </w:rPr>
        <w:t>Gender-responsive indicators are used to help s</w:t>
      </w:r>
      <w:r w:rsidR="00FE4C71" w:rsidRPr="00FE4C71">
        <w:rPr>
          <w:rFonts w:cstheme="minorHAnsi"/>
        </w:rPr>
        <w:t>ignal changes in power relations between women and men over time</w:t>
      </w:r>
      <w:r w:rsidR="00FE4C71">
        <w:rPr>
          <w:rFonts w:cstheme="minorHAnsi"/>
        </w:rPr>
        <w:t xml:space="preserve"> and can </w:t>
      </w:r>
      <w:r w:rsidR="00FE4C71">
        <w:rPr>
          <w:rFonts w:cstheme="minorHAnsi"/>
        </w:rPr>
        <w:lastRenderedPageBreak/>
        <w:t xml:space="preserve">show improvements in </w:t>
      </w:r>
      <w:r w:rsidR="00FE4C71" w:rsidRPr="00FE4C71">
        <w:rPr>
          <w:rFonts w:cstheme="minorHAnsi"/>
        </w:rPr>
        <w:t>access, use and control of resources and distribution of costs and benefits</w:t>
      </w:r>
      <w:r w:rsidR="00FE4C71">
        <w:rPr>
          <w:rFonts w:cstheme="minorHAnsi"/>
        </w:rPr>
        <w:t>. Most importantly, they p</w:t>
      </w:r>
      <w:r w:rsidR="00FE4C71" w:rsidRPr="00FE4C71">
        <w:rPr>
          <w:rFonts w:cstheme="minorHAnsi"/>
        </w:rPr>
        <w:t>rovide important inputs for planning, implementation, and evaluation of field projects and broad programs ranging</w:t>
      </w:r>
      <w:r w:rsidR="00FE4C71">
        <w:rPr>
          <w:rFonts w:cstheme="minorHAnsi"/>
        </w:rPr>
        <w:t xml:space="preserve"> from local initiative to national policy levels and beyond.</w:t>
      </w:r>
    </w:p>
    <w:p w14:paraId="4E213F1F" w14:textId="77777777" w:rsidR="00A74490" w:rsidRDefault="00A74490" w:rsidP="00B80490">
      <w:pPr>
        <w:autoSpaceDE w:val="0"/>
        <w:autoSpaceDN w:val="0"/>
        <w:adjustRightInd w:val="0"/>
        <w:spacing w:after="0" w:line="276" w:lineRule="auto"/>
        <w:jc w:val="both"/>
        <w:rPr>
          <w:rFonts w:cstheme="minorHAnsi"/>
        </w:rPr>
      </w:pPr>
    </w:p>
    <w:p w14:paraId="34CD8C1A" w14:textId="53473CB7" w:rsidR="00FE4C71" w:rsidRPr="00FB2C14" w:rsidRDefault="00A74490" w:rsidP="00B80490">
      <w:pPr>
        <w:autoSpaceDE w:val="0"/>
        <w:autoSpaceDN w:val="0"/>
        <w:adjustRightInd w:val="0"/>
        <w:spacing w:after="0" w:line="276" w:lineRule="auto"/>
        <w:jc w:val="both"/>
        <w:rPr>
          <w:rFonts w:cstheme="minorHAnsi"/>
        </w:rPr>
      </w:pPr>
      <w:r>
        <w:rPr>
          <w:rFonts w:cstheme="minorHAnsi"/>
        </w:rPr>
        <w:t xml:space="preserve">Another important aspect is to ensure your project has a </w:t>
      </w:r>
      <w:r w:rsidRPr="00FB2C14">
        <w:rPr>
          <w:rFonts w:cstheme="minorHAnsi"/>
          <w:b/>
        </w:rPr>
        <w:t>gender-sensitive budget</w:t>
      </w:r>
      <w:r>
        <w:rPr>
          <w:rFonts w:cstheme="minorHAnsi"/>
        </w:rPr>
        <w:t xml:space="preserve">.  This means that the </w:t>
      </w:r>
      <w:r w:rsidR="00FB2C14">
        <w:rPr>
          <w:rFonts w:cstheme="minorHAnsi"/>
        </w:rPr>
        <w:t xml:space="preserve">gender-specific activities/strategies identified in your Gender Action Plan, which should be an integral part of your project components and objectives, need to be reflected in your </w:t>
      </w:r>
      <w:r w:rsidRPr="00A74490">
        <w:rPr>
          <w:rFonts w:cstheme="minorHAnsi"/>
          <w:b/>
        </w:rPr>
        <w:t>budget and yearly workplan</w:t>
      </w:r>
      <w:r w:rsidR="00FB2C14">
        <w:rPr>
          <w:rFonts w:cstheme="minorHAnsi"/>
          <w:b/>
        </w:rPr>
        <w:t xml:space="preserve">, </w:t>
      </w:r>
      <w:r w:rsidR="00FB2C14" w:rsidRPr="00FB2C14">
        <w:rPr>
          <w:rFonts w:cstheme="minorHAnsi"/>
        </w:rPr>
        <w:t xml:space="preserve">to ensure you have the funds </w:t>
      </w:r>
      <w:r w:rsidR="00FB2C14">
        <w:rPr>
          <w:rFonts w:cstheme="minorHAnsi"/>
        </w:rPr>
        <w:t xml:space="preserve">necessary </w:t>
      </w:r>
      <w:r w:rsidR="00FB2C14" w:rsidRPr="00FB2C14">
        <w:rPr>
          <w:rFonts w:cstheme="minorHAnsi"/>
        </w:rPr>
        <w:t>to implement these activities.</w:t>
      </w:r>
      <w:r w:rsidRPr="00FB2C14">
        <w:rPr>
          <w:rFonts w:cstheme="minorHAnsi"/>
        </w:rPr>
        <w:t xml:space="preserve">   </w:t>
      </w:r>
    </w:p>
    <w:p w14:paraId="4C84869B" w14:textId="77777777" w:rsidR="00FE4C71" w:rsidRPr="00FB2C14" w:rsidRDefault="00FE4C71" w:rsidP="00B80490">
      <w:pPr>
        <w:autoSpaceDE w:val="0"/>
        <w:autoSpaceDN w:val="0"/>
        <w:adjustRightInd w:val="0"/>
        <w:spacing w:after="0" w:line="276" w:lineRule="auto"/>
        <w:jc w:val="both"/>
      </w:pPr>
    </w:p>
    <w:p w14:paraId="132CB4E3" w14:textId="3341CDE9" w:rsidR="0043633D" w:rsidRDefault="00467AC5" w:rsidP="00051467">
      <w:pPr>
        <w:jc w:val="both"/>
      </w:pPr>
      <w:r>
        <w:t xml:space="preserve">Below </w:t>
      </w:r>
      <w:r w:rsidR="0043633D">
        <w:t>are a few examples of quantitative and qualitative gender</w:t>
      </w:r>
      <w:r w:rsidR="0031101B">
        <w:t>-related</w:t>
      </w:r>
      <w:r w:rsidR="0043633D">
        <w:t xml:space="preserve"> indicators that may be used in WWF GEF projects</w:t>
      </w:r>
      <w:r w:rsidR="00336983" w:rsidRPr="00336983">
        <w:t xml:space="preserve"> </w:t>
      </w:r>
      <w:r w:rsidR="00336983">
        <w:t>(For a more detailed list of sample indicators, please follow the link</w:t>
      </w:r>
      <w:r w:rsidR="00FE4C71">
        <w:t>s</w:t>
      </w:r>
      <w:r w:rsidR="00336983">
        <w:t xml:space="preserve"> on this site):</w:t>
      </w:r>
    </w:p>
    <w:p w14:paraId="3524345E" w14:textId="77777777" w:rsidR="0043633D" w:rsidRDefault="0043633D" w:rsidP="00051467">
      <w:pPr>
        <w:jc w:val="both"/>
      </w:pPr>
      <w:r w:rsidRPr="00336983">
        <w:rPr>
          <w:b/>
        </w:rPr>
        <w:t>Quantitative</w:t>
      </w:r>
      <w:r>
        <w:t>:</w:t>
      </w:r>
    </w:p>
    <w:p w14:paraId="48F9D410" w14:textId="77777777" w:rsidR="003F4065" w:rsidRDefault="0043633D" w:rsidP="00336983">
      <w:pPr>
        <w:pStyle w:val="ListParagraph"/>
        <w:numPr>
          <w:ilvl w:val="0"/>
          <w:numId w:val="10"/>
        </w:numPr>
        <w:jc w:val="both"/>
      </w:pPr>
      <w:r>
        <w:t>Number of project activities targeting women/men</w:t>
      </w:r>
    </w:p>
    <w:p w14:paraId="33494274" w14:textId="77777777" w:rsidR="0043633D" w:rsidRDefault="0043633D" w:rsidP="00336983">
      <w:pPr>
        <w:pStyle w:val="ListParagraph"/>
        <w:numPr>
          <w:ilvl w:val="0"/>
          <w:numId w:val="10"/>
        </w:numPr>
        <w:jc w:val="both"/>
      </w:pPr>
      <w:r>
        <w:t>Number of women and men that have access to decision-making and project resources/services</w:t>
      </w:r>
    </w:p>
    <w:p w14:paraId="1C873169" w14:textId="77777777" w:rsidR="0043633D" w:rsidRDefault="00336983" w:rsidP="00336983">
      <w:pPr>
        <w:pStyle w:val="ListParagraph"/>
        <w:numPr>
          <w:ilvl w:val="0"/>
          <w:numId w:val="10"/>
        </w:numPr>
        <w:jc w:val="both"/>
      </w:pPr>
      <w:r>
        <w:t>Number of women/men with access to natural resources, to credit and other opportunities</w:t>
      </w:r>
    </w:p>
    <w:p w14:paraId="097F57BF" w14:textId="77777777" w:rsidR="00336983" w:rsidRDefault="00336983" w:rsidP="00336983">
      <w:pPr>
        <w:pStyle w:val="ListParagraph"/>
        <w:numPr>
          <w:ilvl w:val="0"/>
          <w:numId w:val="10"/>
        </w:numPr>
        <w:jc w:val="both"/>
      </w:pPr>
      <w:r>
        <w:t>Shares received by women and men of the benefits arising from the projects</w:t>
      </w:r>
    </w:p>
    <w:p w14:paraId="7556029D" w14:textId="77777777" w:rsidR="003F4065" w:rsidRDefault="0043633D" w:rsidP="00051467">
      <w:pPr>
        <w:jc w:val="both"/>
      </w:pPr>
      <w:r w:rsidRPr="00336983">
        <w:rPr>
          <w:b/>
        </w:rPr>
        <w:t>Qualitative</w:t>
      </w:r>
      <w:r w:rsidR="00336983">
        <w:t xml:space="preserve"> - These indicators will be based on the expectation of the women and men with respect to their quality of life</w:t>
      </w:r>
      <w:r w:rsidR="00C66210">
        <w:t>,</w:t>
      </w:r>
      <w:r w:rsidR="00336983">
        <w:t xml:space="preserve"> for example, they perceive their daily life to have improved in terms of:</w:t>
      </w:r>
    </w:p>
    <w:p w14:paraId="7FAF4521" w14:textId="77777777" w:rsidR="00336983" w:rsidRDefault="00336983" w:rsidP="00336983">
      <w:pPr>
        <w:pStyle w:val="ListParagraph"/>
        <w:numPr>
          <w:ilvl w:val="0"/>
          <w:numId w:val="11"/>
        </w:numPr>
        <w:jc w:val="both"/>
      </w:pPr>
      <w:r>
        <w:t>Level of workload</w:t>
      </w:r>
      <w:r w:rsidR="00B80490">
        <w:t>; g</w:t>
      </w:r>
      <w:r>
        <w:t>reater sharing of responsibilities</w:t>
      </w:r>
    </w:p>
    <w:p w14:paraId="01FC0C30" w14:textId="77777777" w:rsidR="00336983" w:rsidRDefault="00336983" w:rsidP="00336983">
      <w:pPr>
        <w:pStyle w:val="ListParagraph"/>
        <w:numPr>
          <w:ilvl w:val="0"/>
          <w:numId w:val="11"/>
        </w:numPr>
        <w:jc w:val="both"/>
      </w:pPr>
      <w:r>
        <w:t>More equitable distribution with</w:t>
      </w:r>
      <w:r w:rsidR="002C077A">
        <w:t>in</w:t>
      </w:r>
      <w:r>
        <w:t xml:space="preserve"> the household of the benefits </w:t>
      </w:r>
      <w:r w:rsidR="002C077A">
        <w:t>accrued from n</w:t>
      </w:r>
      <w:r>
        <w:t>atural resources management</w:t>
      </w:r>
    </w:p>
    <w:p w14:paraId="3D6C3107" w14:textId="49598440" w:rsidR="00921EC8" w:rsidRDefault="00336983" w:rsidP="00051467">
      <w:pPr>
        <w:pStyle w:val="ListParagraph"/>
        <w:numPr>
          <w:ilvl w:val="0"/>
          <w:numId w:val="11"/>
        </w:numPr>
        <w:jc w:val="both"/>
      </w:pPr>
      <w:r>
        <w:t>Self-esteem related – Women feel more assertive in homes/meetings/within organization, etc.</w:t>
      </w:r>
    </w:p>
    <w:p w14:paraId="0A336A30" w14:textId="4BEDA369" w:rsidR="00B852B1" w:rsidRDefault="00B852B1">
      <w:r>
        <w:br w:type="page"/>
      </w:r>
    </w:p>
    <w:p w14:paraId="634343C7" w14:textId="1FC450B9" w:rsidR="00B852B1" w:rsidRPr="00B852B1" w:rsidRDefault="00B852B1" w:rsidP="00B852B1">
      <w:pPr>
        <w:jc w:val="both"/>
        <w:rPr>
          <w:b/>
          <w:bCs/>
        </w:rPr>
      </w:pPr>
      <w:r w:rsidRPr="00B852B1">
        <w:rPr>
          <w:b/>
          <w:bCs/>
        </w:rPr>
        <w:lastRenderedPageBreak/>
        <w:t>Gender Action Plan Sample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95"/>
        <w:gridCol w:w="2233"/>
        <w:gridCol w:w="2291"/>
        <w:gridCol w:w="937"/>
        <w:gridCol w:w="1133"/>
        <w:gridCol w:w="761"/>
        <w:gridCol w:w="800"/>
      </w:tblGrid>
      <w:tr w:rsidR="00B852B1" w:rsidRPr="00BC5EF8" w14:paraId="11732B05" w14:textId="77777777" w:rsidTr="00192573">
        <w:trPr>
          <w:trHeight w:val="545"/>
          <w:tblHeader/>
        </w:trPr>
        <w:tc>
          <w:tcPr>
            <w:tcW w:w="639" w:type="pct"/>
            <w:shd w:val="clear" w:color="auto" w:fill="D9D9D9" w:themeFill="background1" w:themeFillShade="D9"/>
            <w:vAlign w:val="center"/>
          </w:tcPr>
          <w:p w14:paraId="0EE78235" w14:textId="77777777" w:rsidR="00B852B1" w:rsidRPr="00BC5EF8" w:rsidRDefault="00B852B1" w:rsidP="00192573">
            <w:pPr>
              <w:keepNext/>
              <w:spacing w:after="0" w:line="240" w:lineRule="auto"/>
              <w:ind w:left="652" w:hanging="652"/>
              <w:jc w:val="center"/>
              <w:rPr>
                <w:rFonts w:ascii="Calibri" w:hAnsi="Calibri" w:cs="Calibri"/>
                <w:b/>
                <w:sz w:val="16"/>
                <w:szCs w:val="16"/>
              </w:rPr>
            </w:pPr>
            <w:r w:rsidRPr="00BC5EF8">
              <w:rPr>
                <w:rFonts w:ascii="Calibri" w:hAnsi="Calibri" w:cs="Calibri"/>
                <w:b/>
                <w:sz w:val="16"/>
                <w:szCs w:val="16"/>
              </w:rPr>
              <w:t>Output</w:t>
            </w:r>
          </w:p>
        </w:tc>
        <w:tc>
          <w:tcPr>
            <w:tcW w:w="1194" w:type="pct"/>
            <w:shd w:val="clear" w:color="auto" w:fill="D9D9D9" w:themeFill="background1" w:themeFillShade="D9"/>
            <w:vAlign w:val="center"/>
          </w:tcPr>
          <w:p w14:paraId="627AF73B" w14:textId="77777777" w:rsidR="00B852B1" w:rsidRPr="00BC5EF8" w:rsidRDefault="00B852B1" w:rsidP="00192573">
            <w:pPr>
              <w:keepNext/>
              <w:spacing w:after="0" w:line="240" w:lineRule="auto"/>
              <w:jc w:val="center"/>
              <w:rPr>
                <w:rFonts w:ascii="Calibri" w:hAnsi="Calibri" w:cs="Calibri"/>
                <w:b/>
                <w:sz w:val="16"/>
                <w:szCs w:val="16"/>
              </w:rPr>
            </w:pPr>
            <w:r w:rsidRPr="00BC5EF8">
              <w:rPr>
                <w:rFonts w:ascii="Calibri" w:hAnsi="Calibri" w:cs="Calibri"/>
                <w:b/>
                <w:sz w:val="16"/>
                <w:szCs w:val="16"/>
              </w:rPr>
              <w:t>Project Activities</w:t>
            </w:r>
          </w:p>
        </w:tc>
        <w:tc>
          <w:tcPr>
            <w:tcW w:w="1225" w:type="pct"/>
            <w:shd w:val="clear" w:color="auto" w:fill="D9D9D9" w:themeFill="background1" w:themeFillShade="D9"/>
            <w:vAlign w:val="center"/>
          </w:tcPr>
          <w:p w14:paraId="226B7351" w14:textId="77777777" w:rsidR="00B852B1" w:rsidRPr="00BC5EF8" w:rsidRDefault="00B852B1" w:rsidP="00192573">
            <w:pPr>
              <w:keepNext/>
              <w:spacing w:after="0" w:line="240" w:lineRule="auto"/>
              <w:jc w:val="center"/>
              <w:rPr>
                <w:rFonts w:ascii="Calibri" w:hAnsi="Calibri" w:cs="Calibri"/>
                <w:b/>
                <w:sz w:val="16"/>
                <w:szCs w:val="16"/>
              </w:rPr>
            </w:pPr>
            <w:r w:rsidRPr="00BC5EF8">
              <w:rPr>
                <w:rFonts w:ascii="Calibri" w:hAnsi="Calibri" w:cs="Calibri"/>
                <w:b/>
                <w:sz w:val="16"/>
                <w:szCs w:val="16"/>
              </w:rPr>
              <w:t>Gender specific action</w:t>
            </w:r>
          </w:p>
        </w:tc>
        <w:tc>
          <w:tcPr>
            <w:tcW w:w="501" w:type="pct"/>
            <w:shd w:val="clear" w:color="auto" w:fill="D9D9D9" w:themeFill="background1" w:themeFillShade="D9"/>
            <w:vAlign w:val="center"/>
          </w:tcPr>
          <w:p w14:paraId="0F33BEF3" w14:textId="77777777" w:rsidR="00B852B1" w:rsidRPr="00BC5EF8" w:rsidRDefault="00B852B1" w:rsidP="00192573">
            <w:pPr>
              <w:keepNext/>
              <w:spacing w:after="0" w:line="240" w:lineRule="auto"/>
              <w:jc w:val="center"/>
              <w:rPr>
                <w:rFonts w:ascii="Calibri" w:hAnsi="Calibri" w:cs="Calibri"/>
                <w:b/>
                <w:sz w:val="16"/>
                <w:szCs w:val="16"/>
              </w:rPr>
            </w:pPr>
            <w:r w:rsidRPr="00BC5EF8">
              <w:rPr>
                <w:rFonts w:ascii="Calibri" w:hAnsi="Calibri" w:cs="Calibri"/>
                <w:b/>
                <w:sz w:val="16"/>
                <w:szCs w:val="16"/>
              </w:rPr>
              <w:t>Responsible</w:t>
            </w:r>
          </w:p>
        </w:tc>
        <w:tc>
          <w:tcPr>
            <w:tcW w:w="606" w:type="pct"/>
            <w:shd w:val="clear" w:color="auto" w:fill="D9D9D9" w:themeFill="background1" w:themeFillShade="D9"/>
            <w:vAlign w:val="center"/>
          </w:tcPr>
          <w:p w14:paraId="4F311F8E" w14:textId="77777777" w:rsidR="00B852B1" w:rsidRPr="00BC5EF8" w:rsidRDefault="00B852B1" w:rsidP="00192573">
            <w:pPr>
              <w:keepNext/>
              <w:spacing w:after="0" w:line="240" w:lineRule="auto"/>
              <w:jc w:val="center"/>
              <w:rPr>
                <w:rFonts w:ascii="Calibri" w:hAnsi="Calibri" w:cs="Calibri"/>
                <w:b/>
                <w:sz w:val="16"/>
                <w:szCs w:val="16"/>
              </w:rPr>
            </w:pPr>
            <w:r w:rsidRPr="00BC5EF8">
              <w:rPr>
                <w:rFonts w:ascii="Calibri" w:hAnsi="Calibri" w:cs="Calibri"/>
                <w:b/>
                <w:sz w:val="16"/>
                <w:szCs w:val="16"/>
              </w:rPr>
              <w:t>Indicators and Targets</w:t>
            </w:r>
          </w:p>
        </w:tc>
        <w:tc>
          <w:tcPr>
            <w:tcW w:w="407" w:type="pct"/>
            <w:shd w:val="clear" w:color="auto" w:fill="D9D9D9" w:themeFill="background1" w:themeFillShade="D9"/>
            <w:vAlign w:val="center"/>
          </w:tcPr>
          <w:p w14:paraId="2A947C07" w14:textId="77777777" w:rsidR="00B852B1" w:rsidRPr="00BC5EF8" w:rsidRDefault="00B852B1" w:rsidP="00192573">
            <w:pPr>
              <w:keepNext/>
              <w:spacing w:after="0" w:line="240" w:lineRule="auto"/>
              <w:jc w:val="center"/>
              <w:rPr>
                <w:rFonts w:ascii="Calibri" w:hAnsi="Calibri" w:cs="Calibri"/>
                <w:b/>
                <w:sz w:val="16"/>
                <w:szCs w:val="16"/>
              </w:rPr>
            </w:pPr>
            <w:r w:rsidRPr="00BC5EF8">
              <w:rPr>
                <w:rFonts w:ascii="Calibri" w:hAnsi="Calibri" w:cs="Calibri"/>
                <w:b/>
                <w:sz w:val="16"/>
                <w:szCs w:val="16"/>
              </w:rPr>
              <w:t>Timeline</w:t>
            </w:r>
          </w:p>
        </w:tc>
        <w:tc>
          <w:tcPr>
            <w:tcW w:w="428" w:type="pct"/>
            <w:shd w:val="clear" w:color="auto" w:fill="D9D9D9" w:themeFill="background1" w:themeFillShade="D9"/>
            <w:vAlign w:val="center"/>
          </w:tcPr>
          <w:p w14:paraId="1D66F289" w14:textId="77777777" w:rsidR="00B852B1" w:rsidRPr="00BC5EF8" w:rsidRDefault="00B852B1" w:rsidP="00192573">
            <w:pPr>
              <w:keepNext/>
              <w:spacing w:after="0" w:line="240" w:lineRule="auto"/>
              <w:jc w:val="center"/>
              <w:rPr>
                <w:rFonts w:ascii="Calibri" w:hAnsi="Calibri" w:cs="Calibri"/>
                <w:b/>
                <w:sz w:val="16"/>
                <w:szCs w:val="16"/>
              </w:rPr>
            </w:pPr>
            <w:r w:rsidRPr="00BC5EF8">
              <w:rPr>
                <w:rFonts w:ascii="Calibri" w:hAnsi="Calibri" w:cs="Calibri"/>
                <w:b/>
                <w:sz w:val="16"/>
                <w:szCs w:val="16"/>
              </w:rPr>
              <w:t>Budget</w:t>
            </w:r>
          </w:p>
        </w:tc>
      </w:tr>
      <w:tr w:rsidR="00B852B1" w:rsidRPr="00BC5EF8" w14:paraId="3BEB27EC" w14:textId="77777777" w:rsidTr="00192573">
        <w:trPr>
          <w:trHeight w:val="269"/>
        </w:trPr>
        <w:tc>
          <w:tcPr>
            <w:tcW w:w="5000" w:type="pct"/>
            <w:gridSpan w:val="7"/>
            <w:shd w:val="clear" w:color="auto" w:fill="FFE599" w:themeFill="accent4" w:themeFillTint="66"/>
          </w:tcPr>
          <w:p w14:paraId="0A46099B" w14:textId="77777777" w:rsidR="00B852B1" w:rsidRPr="00BC5EF8" w:rsidRDefault="00B852B1" w:rsidP="00192573">
            <w:pPr>
              <w:keepNext/>
              <w:spacing w:after="0" w:line="240" w:lineRule="auto"/>
              <w:rPr>
                <w:rFonts w:ascii="Calibri" w:hAnsi="Calibri" w:cs="Calibri"/>
                <w:b/>
                <w:sz w:val="16"/>
                <w:szCs w:val="16"/>
              </w:rPr>
            </w:pPr>
            <w:r w:rsidRPr="00BC5EF8">
              <w:rPr>
                <w:rFonts w:ascii="Calibri" w:hAnsi="Calibri" w:cs="Calibri"/>
                <w:b/>
                <w:sz w:val="16"/>
                <w:szCs w:val="16"/>
              </w:rPr>
              <w:t>Component 1: Strengthening the enabling environment for the sustainable management of drylands</w:t>
            </w:r>
          </w:p>
        </w:tc>
      </w:tr>
      <w:tr w:rsidR="00B852B1" w:rsidRPr="00BC5EF8" w14:paraId="6112D78B" w14:textId="77777777" w:rsidTr="00192573">
        <w:trPr>
          <w:trHeight w:val="266"/>
        </w:trPr>
        <w:tc>
          <w:tcPr>
            <w:tcW w:w="5000" w:type="pct"/>
            <w:gridSpan w:val="7"/>
            <w:tcBorders>
              <w:top w:val="single" w:sz="4" w:space="0" w:color="auto"/>
              <w:left w:val="single" w:sz="4" w:space="0" w:color="auto"/>
              <w:right w:val="single" w:sz="4" w:space="0" w:color="auto"/>
            </w:tcBorders>
            <w:shd w:val="clear" w:color="auto" w:fill="FFF2CC" w:themeFill="accent4" w:themeFillTint="33"/>
          </w:tcPr>
          <w:p w14:paraId="47674D72" w14:textId="77777777" w:rsidR="00B852B1" w:rsidRPr="00BC5EF8" w:rsidRDefault="00B852B1" w:rsidP="00192573">
            <w:pPr>
              <w:keepNext/>
              <w:spacing w:after="0" w:line="240" w:lineRule="auto"/>
              <w:rPr>
                <w:rFonts w:ascii="Calibri" w:hAnsi="Calibri" w:cs="Calibri"/>
                <w:b/>
                <w:bCs/>
                <w:sz w:val="16"/>
                <w:szCs w:val="16"/>
              </w:rPr>
            </w:pPr>
            <w:r w:rsidRPr="00BC5EF8">
              <w:rPr>
                <w:rFonts w:ascii="Calibri" w:hAnsi="Calibri" w:cs="Calibri"/>
                <w:b/>
                <w:bCs/>
                <w:sz w:val="16"/>
                <w:szCs w:val="16"/>
              </w:rPr>
              <w:t>Outcome 1.1: Strengthened policies and planning mechanisms for the sustainable management of drylands at national</w:t>
            </w:r>
            <w:r>
              <w:rPr>
                <w:rFonts w:ascii="Calibri" w:hAnsi="Calibri" w:cs="Calibri"/>
                <w:b/>
                <w:bCs/>
                <w:sz w:val="16"/>
                <w:szCs w:val="16"/>
              </w:rPr>
              <w:t xml:space="preserve"> and</w:t>
            </w:r>
            <w:r w:rsidRPr="00BC5EF8">
              <w:rPr>
                <w:rFonts w:ascii="Calibri" w:hAnsi="Calibri" w:cs="Calibri"/>
                <w:b/>
                <w:bCs/>
                <w:sz w:val="16"/>
                <w:szCs w:val="16"/>
              </w:rPr>
              <w:t xml:space="preserve"> </w:t>
            </w:r>
            <w:r>
              <w:rPr>
                <w:rFonts w:ascii="Calibri" w:hAnsi="Calibri" w:cs="Calibri"/>
                <w:b/>
                <w:bCs/>
                <w:sz w:val="16"/>
                <w:szCs w:val="16"/>
              </w:rPr>
              <w:t>district levels</w:t>
            </w:r>
          </w:p>
        </w:tc>
      </w:tr>
      <w:tr w:rsidR="00B852B1" w:rsidRPr="00BC5EF8" w14:paraId="70B3712B" w14:textId="77777777" w:rsidTr="00192573">
        <w:trPr>
          <w:trHeight w:val="488"/>
        </w:trPr>
        <w:tc>
          <w:tcPr>
            <w:tcW w:w="639" w:type="pct"/>
            <w:vMerge w:val="restart"/>
            <w:shd w:val="clear" w:color="auto" w:fill="auto"/>
          </w:tcPr>
          <w:p w14:paraId="2AE3D420" w14:textId="77777777" w:rsidR="00B852B1" w:rsidRPr="00BC5EF8" w:rsidRDefault="00B852B1" w:rsidP="00192573">
            <w:pPr>
              <w:spacing w:after="0" w:line="240" w:lineRule="auto"/>
              <w:rPr>
                <w:rFonts w:ascii="Calibri" w:hAnsi="Calibri" w:cs="Calibri"/>
                <w:b/>
                <w:bCs/>
                <w:sz w:val="16"/>
                <w:szCs w:val="16"/>
              </w:rPr>
            </w:pPr>
            <w:r w:rsidRPr="00BC5EF8">
              <w:rPr>
                <w:rFonts w:ascii="Calibri" w:hAnsi="Calibri" w:cs="Calibri"/>
                <w:b/>
                <w:bCs/>
                <w:sz w:val="16"/>
                <w:szCs w:val="16"/>
              </w:rPr>
              <w:t>Output 1.1.1</w:t>
            </w:r>
          </w:p>
          <w:p w14:paraId="014DA74C" w14:textId="77777777" w:rsidR="00B852B1" w:rsidRPr="00BC5EF8" w:rsidRDefault="00B852B1" w:rsidP="00192573">
            <w:pPr>
              <w:spacing w:after="0" w:line="240" w:lineRule="auto"/>
              <w:rPr>
                <w:rFonts w:ascii="Calibri" w:hAnsi="Calibri" w:cs="Calibri"/>
                <w:sz w:val="16"/>
                <w:szCs w:val="16"/>
              </w:rPr>
            </w:pPr>
            <w:r w:rsidRPr="00BC5EF8">
              <w:rPr>
                <w:rFonts w:ascii="Calibri" w:hAnsi="Calibri" w:cs="Calibri"/>
                <w:sz w:val="16"/>
                <w:szCs w:val="16"/>
              </w:rPr>
              <w:t xml:space="preserve">Cross-sectoral, multi-stakeholder working groups established under existing committees at national and </w:t>
            </w:r>
            <w:r>
              <w:rPr>
                <w:rFonts w:ascii="Calibri" w:hAnsi="Calibri" w:cs="Calibri"/>
                <w:sz w:val="16"/>
                <w:szCs w:val="16"/>
              </w:rPr>
              <w:t xml:space="preserve">district </w:t>
            </w:r>
            <w:r w:rsidRPr="00BC5EF8">
              <w:rPr>
                <w:rFonts w:ascii="Calibri" w:hAnsi="Calibri" w:cs="Calibri"/>
                <w:sz w:val="16"/>
                <w:szCs w:val="16"/>
              </w:rPr>
              <w:t>levels to facilitate participatory, adaptive landscape planning and management in the existing land-use planning process.</w:t>
            </w:r>
          </w:p>
        </w:tc>
        <w:tc>
          <w:tcPr>
            <w:tcW w:w="1194" w:type="pct"/>
          </w:tcPr>
          <w:p w14:paraId="1B17AFA8" w14:textId="77777777" w:rsidR="00B852B1" w:rsidRPr="00BC5EF8" w:rsidRDefault="00B852B1" w:rsidP="00192573">
            <w:pPr>
              <w:spacing w:after="0" w:line="240" w:lineRule="auto"/>
              <w:rPr>
                <w:rFonts w:ascii="Calibri" w:hAnsi="Calibri" w:cs="Calibri"/>
                <w:sz w:val="16"/>
                <w:szCs w:val="16"/>
              </w:rPr>
            </w:pPr>
            <w:r w:rsidRPr="00BC5EF8">
              <w:rPr>
                <w:rFonts w:ascii="Calibri" w:hAnsi="Calibri" w:cs="Calibri"/>
                <w:b/>
                <w:sz w:val="16"/>
                <w:szCs w:val="16"/>
              </w:rPr>
              <w:t>Activity 1.1.1.1:</w:t>
            </w:r>
            <w:r w:rsidRPr="00BC5EF8">
              <w:rPr>
                <w:rFonts w:ascii="Calibri" w:hAnsi="Calibri" w:cs="Calibri"/>
                <w:sz w:val="16"/>
                <w:szCs w:val="16"/>
              </w:rPr>
              <w:t xml:space="preserve"> Hold consultations to discuss cross-sectoral, multi-stakeholder landscape planning and management mechanisms with stakeholders.</w:t>
            </w:r>
          </w:p>
        </w:tc>
        <w:tc>
          <w:tcPr>
            <w:tcW w:w="1225" w:type="pct"/>
          </w:tcPr>
          <w:p w14:paraId="76BA777A" w14:textId="77777777" w:rsidR="00B852B1" w:rsidRPr="00BC5EF8" w:rsidRDefault="00B852B1" w:rsidP="00B852B1">
            <w:pPr>
              <w:pStyle w:val="ListParagraph"/>
              <w:numPr>
                <w:ilvl w:val="0"/>
                <w:numId w:val="14"/>
              </w:numPr>
              <w:spacing w:after="0" w:line="240" w:lineRule="auto"/>
              <w:textAlignment w:val="baseline"/>
              <w:rPr>
                <w:rFonts w:ascii="Calibri" w:hAnsi="Calibri" w:cs="Calibri"/>
                <w:sz w:val="16"/>
                <w:szCs w:val="16"/>
              </w:rPr>
            </w:pPr>
            <w:r w:rsidRPr="00BC5EF8">
              <w:rPr>
                <w:rFonts w:ascii="Calibri" w:hAnsi="Calibri" w:cs="Calibri"/>
                <w:sz w:val="16"/>
                <w:szCs w:val="16"/>
              </w:rPr>
              <w:t xml:space="preserve">Inform and consult with the </w:t>
            </w:r>
            <w:r>
              <w:rPr>
                <w:rFonts w:ascii="Calibri" w:hAnsi="Calibri" w:cs="Calibri"/>
                <w:sz w:val="16"/>
                <w:szCs w:val="16"/>
              </w:rPr>
              <w:t>NCGP Secretariat,</w:t>
            </w:r>
            <w:r w:rsidRPr="00BC5EF8">
              <w:rPr>
                <w:rFonts w:ascii="Calibri" w:hAnsi="Calibri" w:cs="Calibri"/>
                <w:sz w:val="16"/>
                <w:szCs w:val="16"/>
              </w:rPr>
              <w:t xml:space="preserve"> Ministry of Labor and Social Protection (MLSP), Ministry of Education, Culture, Science and Sports (MECSS) towards addressing negative social and gender factors that impact landscape planning and utilization as well as agreeing on the cross-sectoral cooperation and partnership opportunities.</w:t>
            </w:r>
          </w:p>
          <w:p w14:paraId="6A86788B" w14:textId="77777777" w:rsidR="00B852B1" w:rsidRPr="00BC5EF8" w:rsidRDefault="00B852B1" w:rsidP="00B852B1">
            <w:pPr>
              <w:pStyle w:val="ListParagraph"/>
              <w:numPr>
                <w:ilvl w:val="0"/>
                <w:numId w:val="14"/>
              </w:numPr>
              <w:spacing w:after="0" w:line="240" w:lineRule="auto"/>
              <w:ind w:left="357" w:hanging="283"/>
              <w:textAlignment w:val="baseline"/>
              <w:rPr>
                <w:rFonts w:ascii="Calibri" w:hAnsi="Calibri" w:cs="Calibri"/>
                <w:sz w:val="16"/>
                <w:szCs w:val="16"/>
              </w:rPr>
            </w:pPr>
            <w:r w:rsidRPr="00BC5EF8">
              <w:rPr>
                <w:rFonts w:ascii="Calibri" w:hAnsi="Calibri" w:cs="Calibri"/>
                <w:sz w:val="16"/>
                <w:szCs w:val="16"/>
              </w:rPr>
              <w:t>Ensure equal participation of women and men in the consultations (i.e., at least 40% of both female and male participants).</w:t>
            </w:r>
          </w:p>
        </w:tc>
        <w:tc>
          <w:tcPr>
            <w:tcW w:w="501" w:type="pct"/>
            <w:vMerge w:val="restart"/>
          </w:tcPr>
          <w:p w14:paraId="43CB6069" w14:textId="77777777" w:rsidR="00B852B1" w:rsidRPr="00BC5EF8" w:rsidRDefault="00B852B1" w:rsidP="00192573">
            <w:pPr>
              <w:spacing w:after="0" w:line="240" w:lineRule="auto"/>
              <w:rPr>
                <w:rFonts w:ascii="Calibri" w:hAnsi="Calibri" w:cs="Calibri"/>
                <w:sz w:val="16"/>
                <w:szCs w:val="16"/>
              </w:rPr>
            </w:pPr>
            <w:r w:rsidRPr="00BC5EF8">
              <w:rPr>
                <w:rFonts w:ascii="Calibri" w:hAnsi="Calibri" w:cs="Calibri"/>
                <w:sz w:val="16"/>
                <w:szCs w:val="16"/>
              </w:rPr>
              <w:t>PMU</w:t>
            </w:r>
          </w:p>
          <w:p w14:paraId="6C3E75E8" w14:textId="77777777" w:rsidR="00B852B1" w:rsidRPr="00BC5EF8" w:rsidRDefault="00B852B1" w:rsidP="00192573">
            <w:pPr>
              <w:spacing w:after="0" w:line="240" w:lineRule="auto"/>
              <w:rPr>
                <w:rFonts w:ascii="Calibri" w:hAnsi="Calibri" w:cs="Calibri"/>
                <w:sz w:val="16"/>
                <w:szCs w:val="16"/>
              </w:rPr>
            </w:pPr>
          </w:p>
          <w:p w14:paraId="333E3659" w14:textId="77777777" w:rsidR="00B852B1" w:rsidRPr="00BC5EF8" w:rsidRDefault="00B852B1" w:rsidP="00192573">
            <w:pPr>
              <w:spacing w:after="0" w:line="240" w:lineRule="auto"/>
              <w:rPr>
                <w:rFonts w:ascii="Calibri" w:hAnsi="Calibri" w:cs="Calibri"/>
                <w:sz w:val="16"/>
                <w:szCs w:val="16"/>
              </w:rPr>
            </w:pPr>
            <w:r w:rsidRPr="00BC5EF8">
              <w:rPr>
                <w:rFonts w:ascii="Calibri" w:hAnsi="Calibri" w:cs="Calibri"/>
                <w:sz w:val="16"/>
                <w:szCs w:val="16"/>
              </w:rPr>
              <w:t>With support from the Safeguards and Gender Specialist</w:t>
            </w:r>
          </w:p>
        </w:tc>
        <w:tc>
          <w:tcPr>
            <w:tcW w:w="606" w:type="pct"/>
          </w:tcPr>
          <w:p w14:paraId="74B7D1EA" w14:textId="77777777" w:rsidR="00B852B1" w:rsidRPr="00BC5EF8" w:rsidRDefault="00B852B1" w:rsidP="00192573">
            <w:pPr>
              <w:spacing w:after="0" w:line="240" w:lineRule="auto"/>
              <w:rPr>
                <w:rFonts w:ascii="Calibri" w:hAnsi="Calibri" w:cs="Calibri"/>
                <w:sz w:val="16"/>
                <w:szCs w:val="16"/>
              </w:rPr>
            </w:pPr>
            <w:r w:rsidRPr="00BC5EF8">
              <w:rPr>
                <w:rFonts w:ascii="Calibri" w:hAnsi="Calibri" w:cs="Calibri"/>
                <w:sz w:val="16"/>
                <w:szCs w:val="16"/>
              </w:rPr>
              <w:t xml:space="preserve">a) </w:t>
            </w:r>
            <w:r w:rsidRPr="00BC5EF8">
              <w:rPr>
                <w:rFonts w:ascii="Calibri" w:hAnsi="Calibri" w:cs="Calibri"/>
                <w:sz w:val="16"/>
                <w:szCs w:val="16"/>
                <w:u w:val="single"/>
              </w:rPr>
              <w:t>Indicator:</w:t>
            </w:r>
            <w:r w:rsidRPr="00BC5EF8">
              <w:rPr>
                <w:rFonts w:ascii="Calibri" w:hAnsi="Calibri" w:cs="Calibri"/>
                <w:sz w:val="16"/>
                <w:szCs w:val="16"/>
              </w:rPr>
              <w:t xml:space="preserve"> Number of relevant gender stakeholders/ organizations consulted.</w:t>
            </w:r>
          </w:p>
          <w:p w14:paraId="4AFCF931" w14:textId="77777777" w:rsidR="00B852B1" w:rsidRPr="00BC5EF8" w:rsidRDefault="00B852B1" w:rsidP="00192573">
            <w:pPr>
              <w:spacing w:after="0" w:line="240" w:lineRule="auto"/>
              <w:rPr>
                <w:rFonts w:ascii="Calibri" w:hAnsi="Calibri" w:cs="Calibri"/>
                <w:sz w:val="16"/>
                <w:szCs w:val="16"/>
              </w:rPr>
            </w:pPr>
            <w:r w:rsidRPr="00BC5EF8">
              <w:rPr>
                <w:rFonts w:ascii="Calibri" w:hAnsi="Calibri" w:cs="Calibri"/>
                <w:sz w:val="16"/>
                <w:szCs w:val="16"/>
                <w:u w:val="single"/>
              </w:rPr>
              <w:t>Target:</w:t>
            </w:r>
            <w:r w:rsidRPr="00BC5EF8">
              <w:rPr>
                <w:rFonts w:ascii="Calibri" w:hAnsi="Calibri" w:cs="Calibri"/>
                <w:sz w:val="16"/>
                <w:szCs w:val="16"/>
              </w:rPr>
              <w:t xml:space="preserve"> At least 5 (2 national-level and 3 </w:t>
            </w:r>
            <w:r>
              <w:rPr>
                <w:rFonts w:ascii="Calibri" w:hAnsi="Calibri" w:cs="Calibri"/>
                <w:sz w:val="16"/>
                <w:szCs w:val="16"/>
              </w:rPr>
              <w:t>district</w:t>
            </w:r>
            <w:r w:rsidRPr="00BC5EF8">
              <w:rPr>
                <w:rFonts w:ascii="Calibri" w:hAnsi="Calibri" w:cs="Calibri"/>
                <w:sz w:val="16"/>
                <w:szCs w:val="16"/>
              </w:rPr>
              <w:t>-level).</w:t>
            </w:r>
          </w:p>
          <w:p w14:paraId="65F097F4" w14:textId="77777777" w:rsidR="00B852B1" w:rsidRPr="00BC5EF8" w:rsidRDefault="00B852B1" w:rsidP="00192573">
            <w:pPr>
              <w:spacing w:after="0" w:line="240" w:lineRule="auto"/>
              <w:rPr>
                <w:rFonts w:ascii="Calibri" w:hAnsi="Calibri" w:cs="Calibri"/>
                <w:sz w:val="16"/>
                <w:szCs w:val="16"/>
              </w:rPr>
            </w:pPr>
          </w:p>
          <w:p w14:paraId="5A024C99" w14:textId="77777777" w:rsidR="00B852B1" w:rsidRPr="00BC5EF8" w:rsidRDefault="00B852B1" w:rsidP="00192573">
            <w:pPr>
              <w:spacing w:after="0" w:line="240" w:lineRule="auto"/>
              <w:rPr>
                <w:rFonts w:ascii="Calibri" w:hAnsi="Calibri" w:cs="Calibri"/>
                <w:sz w:val="16"/>
                <w:szCs w:val="16"/>
              </w:rPr>
            </w:pPr>
            <w:r w:rsidRPr="00BC5EF8">
              <w:rPr>
                <w:rFonts w:ascii="Calibri" w:hAnsi="Calibri" w:cs="Calibri"/>
                <w:sz w:val="16"/>
                <w:szCs w:val="16"/>
              </w:rPr>
              <w:t xml:space="preserve">b) </w:t>
            </w:r>
            <w:r w:rsidRPr="00BC5EF8">
              <w:rPr>
                <w:rFonts w:ascii="Calibri" w:hAnsi="Calibri" w:cs="Calibri"/>
                <w:sz w:val="16"/>
                <w:szCs w:val="16"/>
                <w:u w:val="single"/>
              </w:rPr>
              <w:t>Indicator:</w:t>
            </w:r>
            <w:r w:rsidRPr="00BC5EF8">
              <w:rPr>
                <w:rFonts w:ascii="Calibri" w:hAnsi="Calibri" w:cs="Calibri"/>
                <w:sz w:val="16"/>
                <w:szCs w:val="16"/>
              </w:rPr>
              <w:t xml:space="preserve"> Proportion of women/men who participated in  consultations.</w:t>
            </w:r>
          </w:p>
          <w:p w14:paraId="25416512" w14:textId="77777777" w:rsidR="00B852B1" w:rsidRPr="00BC5EF8" w:rsidRDefault="00B852B1" w:rsidP="00192573">
            <w:pPr>
              <w:spacing w:after="0" w:line="240" w:lineRule="auto"/>
              <w:rPr>
                <w:rFonts w:ascii="Calibri" w:hAnsi="Calibri" w:cs="Calibri"/>
                <w:sz w:val="16"/>
                <w:szCs w:val="16"/>
              </w:rPr>
            </w:pPr>
            <w:r w:rsidRPr="00BC5EF8">
              <w:rPr>
                <w:rFonts w:ascii="Calibri" w:hAnsi="Calibri" w:cs="Calibri"/>
                <w:sz w:val="16"/>
                <w:szCs w:val="16"/>
                <w:u w:val="single"/>
              </w:rPr>
              <w:t>Target:</w:t>
            </w:r>
            <w:r w:rsidRPr="00BC5EF8">
              <w:rPr>
                <w:rFonts w:ascii="Calibri" w:hAnsi="Calibri" w:cs="Calibri"/>
                <w:sz w:val="16"/>
                <w:szCs w:val="16"/>
              </w:rPr>
              <w:t xml:space="preserve"> At least 40% women and at least 40% men.</w:t>
            </w:r>
          </w:p>
        </w:tc>
        <w:tc>
          <w:tcPr>
            <w:tcW w:w="407" w:type="pct"/>
          </w:tcPr>
          <w:p w14:paraId="58CF350F" w14:textId="77777777" w:rsidR="00B852B1" w:rsidRPr="00BC5EF8" w:rsidRDefault="00B852B1" w:rsidP="00192573">
            <w:pPr>
              <w:spacing w:after="0" w:line="240" w:lineRule="auto"/>
              <w:rPr>
                <w:rFonts w:ascii="Calibri" w:hAnsi="Calibri" w:cs="Calibri"/>
                <w:sz w:val="16"/>
                <w:szCs w:val="16"/>
              </w:rPr>
            </w:pPr>
            <w:r w:rsidRPr="00BC5EF8">
              <w:rPr>
                <w:rFonts w:ascii="Calibri" w:hAnsi="Calibri" w:cs="Calibri"/>
                <w:sz w:val="16"/>
                <w:szCs w:val="16"/>
              </w:rPr>
              <w:t>Year 1</w:t>
            </w:r>
          </w:p>
        </w:tc>
        <w:tc>
          <w:tcPr>
            <w:tcW w:w="428" w:type="pct"/>
          </w:tcPr>
          <w:p w14:paraId="20337244" w14:textId="77777777" w:rsidR="00B852B1" w:rsidRPr="00BC5EF8" w:rsidRDefault="00B852B1" w:rsidP="00192573">
            <w:pPr>
              <w:spacing w:after="0" w:line="240" w:lineRule="auto"/>
              <w:rPr>
                <w:rFonts w:ascii="Calibri" w:hAnsi="Calibri" w:cs="Calibri"/>
                <w:sz w:val="16"/>
                <w:szCs w:val="16"/>
              </w:rPr>
            </w:pPr>
            <w:r w:rsidRPr="00BC5EF8">
              <w:rPr>
                <w:rFonts w:ascii="Calibri" w:hAnsi="Calibri" w:cs="Calibri"/>
                <w:sz w:val="16"/>
                <w:szCs w:val="16"/>
              </w:rPr>
              <w:t>Covered by output budget.</w:t>
            </w:r>
          </w:p>
        </w:tc>
      </w:tr>
      <w:tr w:rsidR="00B852B1" w:rsidRPr="00BC5EF8" w14:paraId="242F207C" w14:textId="77777777" w:rsidTr="00192573">
        <w:trPr>
          <w:trHeight w:val="488"/>
        </w:trPr>
        <w:tc>
          <w:tcPr>
            <w:tcW w:w="639" w:type="pct"/>
            <w:vMerge/>
            <w:shd w:val="clear" w:color="auto" w:fill="auto"/>
          </w:tcPr>
          <w:p w14:paraId="2F096FFD" w14:textId="77777777" w:rsidR="00B852B1" w:rsidRPr="00BC5EF8" w:rsidRDefault="00B852B1" w:rsidP="00192573">
            <w:pPr>
              <w:spacing w:after="0" w:line="240" w:lineRule="auto"/>
              <w:rPr>
                <w:rFonts w:ascii="Calibri" w:hAnsi="Calibri" w:cs="Calibri"/>
                <w:b/>
                <w:bCs/>
                <w:sz w:val="16"/>
                <w:szCs w:val="16"/>
              </w:rPr>
            </w:pPr>
          </w:p>
        </w:tc>
        <w:tc>
          <w:tcPr>
            <w:tcW w:w="1194" w:type="pct"/>
          </w:tcPr>
          <w:p w14:paraId="181A1002" w14:textId="77777777" w:rsidR="00B852B1" w:rsidRPr="00BC5EF8" w:rsidRDefault="00B852B1" w:rsidP="00192573">
            <w:pPr>
              <w:spacing w:after="0" w:line="240" w:lineRule="auto"/>
              <w:rPr>
                <w:rFonts w:ascii="Calibri" w:hAnsi="Calibri" w:cs="Calibri"/>
                <w:sz w:val="16"/>
                <w:szCs w:val="16"/>
              </w:rPr>
            </w:pPr>
            <w:r w:rsidRPr="00BC5EF8">
              <w:rPr>
                <w:rFonts w:ascii="Calibri" w:hAnsi="Calibri" w:cs="Calibri"/>
                <w:b/>
                <w:sz w:val="16"/>
                <w:szCs w:val="16"/>
              </w:rPr>
              <w:t>Activity 1.1.1.2:</w:t>
            </w:r>
            <w:r w:rsidRPr="00BC5EF8">
              <w:rPr>
                <w:rFonts w:ascii="Calibri" w:hAnsi="Calibri" w:cs="Calibri"/>
                <w:sz w:val="16"/>
                <w:szCs w:val="16"/>
              </w:rPr>
              <w:t xml:space="preserve"> Develop draft Terms of Reference (TORs) of working groups in a gender-sensitive and inclusive manner.</w:t>
            </w:r>
          </w:p>
        </w:tc>
        <w:tc>
          <w:tcPr>
            <w:tcW w:w="1225" w:type="pct"/>
          </w:tcPr>
          <w:p w14:paraId="3AE4E110" w14:textId="77777777" w:rsidR="00B852B1" w:rsidRPr="00BC5EF8" w:rsidRDefault="00B852B1" w:rsidP="00B852B1">
            <w:pPr>
              <w:pStyle w:val="ListParagraph"/>
              <w:numPr>
                <w:ilvl w:val="0"/>
                <w:numId w:val="14"/>
              </w:numPr>
              <w:spacing w:after="0" w:line="240" w:lineRule="auto"/>
              <w:ind w:left="357" w:hanging="283"/>
              <w:textAlignment w:val="baseline"/>
              <w:rPr>
                <w:rFonts w:ascii="Calibri" w:hAnsi="Calibri" w:cs="Calibri"/>
                <w:sz w:val="16"/>
                <w:szCs w:val="16"/>
              </w:rPr>
            </w:pPr>
            <w:r w:rsidRPr="00BC5EF8">
              <w:rPr>
                <w:rFonts w:ascii="Calibri" w:hAnsi="Calibri" w:cs="Calibri"/>
                <w:sz w:val="16"/>
                <w:szCs w:val="16"/>
              </w:rPr>
              <w:t xml:space="preserve">Reflect gender aspects in the TOR, including equal </w:t>
            </w:r>
            <w:r>
              <w:rPr>
                <w:rFonts w:ascii="Calibri" w:hAnsi="Calibri" w:cs="Calibri"/>
                <w:sz w:val="16"/>
                <w:szCs w:val="16"/>
              </w:rPr>
              <w:t>representation</w:t>
            </w:r>
            <w:r w:rsidRPr="00BC5EF8">
              <w:rPr>
                <w:rFonts w:ascii="Calibri" w:hAnsi="Calibri" w:cs="Calibri"/>
                <w:sz w:val="16"/>
                <w:szCs w:val="16"/>
              </w:rPr>
              <w:t xml:space="preserve"> of women and men</w:t>
            </w:r>
            <w:r>
              <w:rPr>
                <w:rFonts w:ascii="Calibri" w:hAnsi="Calibri" w:cs="Calibri"/>
                <w:sz w:val="16"/>
                <w:szCs w:val="16"/>
              </w:rPr>
              <w:t xml:space="preserve"> in the working groups</w:t>
            </w:r>
            <w:r w:rsidRPr="00BC5EF8">
              <w:rPr>
                <w:rFonts w:ascii="Calibri" w:hAnsi="Calibri" w:cs="Calibri"/>
                <w:sz w:val="16"/>
                <w:szCs w:val="16"/>
              </w:rPr>
              <w:t xml:space="preserve"> (at least 40% of both female and male participants).</w:t>
            </w:r>
          </w:p>
        </w:tc>
        <w:tc>
          <w:tcPr>
            <w:tcW w:w="501" w:type="pct"/>
            <w:vMerge/>
          </w:tcPr>
          <w:p w14:paraId="799AEF76" w14:textId="77777777" w:rsidR="00B852B1" w:rsidRPr="00BC5EF8" w:rsidRDefault="00B852B1" w:rsidP="00192573">
            <w:pPr>
              <w:spacing w:after="0" w:line="240" w:lineRule="auto"/>
              <w:rPr>
                <w:rFonts w:ascii="Calibri" w:hAnsi="Calibri" w:cs="Calibri"/>
                <w:sz w:val="16"/>
                <w:szCs w:val="16"/>
              </w:rPr>
            </w:pPr>
          </w:p>
        </w:tc>
        <w:tc>
          <w:tcPr>
            <w:tcW w:w="606" w:type="pct"/>
          </w:tcPr>
          <w:p w14:paraId="47E17B1A" w14:textId="77777777" w:rsidR="00B852B1" w:rsidRPr="00BC5EF8" w:rsidRDefault="00B852B1" w:rsidP="00192573">
            <w:pPr>
              <w:spacing w:after="0" w:line="240" w:lineRule="auto"/>
              <w:rPr>
                <w:rFonts w:ascii="Calibri" w:hAnsi="Calibri" w:cs="Calibri"/>
                <w:sz w:val="16"/>
                <w:szCs w:val="16"/>
              </w:rPr>
            </w:pPr>
            <w:r w:rsidRPr="00BC5EF8">
              <w:rPr>
                <w:rFonts w:ascii="Calibri" w:hAnsi="Calibri" w:cs="Calibri"/>
                <w:sz w:val="16"/>
                <w:szCs w:val="16"/>
              </w:rPr>
              <w:t xml:space="preserve">c) </w:t>
            </w:r>
            <w:r w:rsidRPr="00BC5EF8">
              <w:rPr>
                <w:rFonts w:ascii="Calibri" w:hAnsi="Calibri" w:cs="Calibri"/>
                <w:sz w:val="16"/>
                <w:szCs w:val="16"/>
                <w:u w:val="single"/>
              </w:rPr>
              <w:t>Indicator:</w:t>
            </w:r>
            <w:r w:rsidRPr="00BC5EF8">
              <w:rPr>
                <w:rFonts w:ascii="Calibri" w:hAnsi="Calibri" w:cs="Calibri"/>
                <w:sz w:val="16"/>
                <w:szCs w:val="16"/>
              </w:rPr>
              <w:t xml:space="preserve"> Percentage of working group TORs developed  incorporating gender aspects</w:t>
            </w:r>
            <w:r>
              <w:rPr>
                <w:rFonts w:ascii="Calibri" w:hAnsi="Calibri" w:cs="Calibri"/>
                <w:sz w:val="16"/>
                <w:szCs w:val="16"/>
              </w:rPr>
              <w:t xml:space="preserve">; </w:t>
            </w:r>
            <w:r w:rsidRPr="00BC5EF8">
              <w:rPr>
                <w:rFonts w:ascii="Calibri" w:hAnsi="Calibri" w:cs="Calibri"/>
                <w:sz w:val="16"/>
                <w:szCs w:val="16"/>
              </w:rPr>
              <w:t xml:space="preserve">equal </w:t>
            </w:r>
            <w:r>
              <w:rPr>
                <w:rFonts w:ascii="Calibri" w:hAnsi="Calibri" w:cs="Calibri"/>
                <w:sz w:val="16"/>
                <w:szCs w:val="16"/>
              </w:rPr>
              <w:t>representation of women</w:t>
            </w:r>
            <w:r w:rsidRPr="00BC5EF8">
              <w:rPr>
                <w:rFonts w:ascii="Calibri" w:hAnsi="Calibri" w:cs="Calibri"/>
                <w:sz w:val="16"/>
                <w:szCs w:val="16"/>
              </w:rPr>
              <w:t>.</w:t>
            </w:r>
          </w:p>
          <w:p w14:paraId="303C6A64" w14:textId="77777777" w:rsidR="00B852B1" w:rsidRPr="00BC5EF8" w:rsidRDefault="00B852B1" w:rsidP="00192573">
            <w:pPr>
              <w:spacing w:after="0" w:line="240" w:lineRule="auto"/>
              <w:rPr>
                <w:rFonts w:ascii="Calibri" w:hAnsi="Calibri" w:cs="Calibri"/>
                <w:sz w:val="16"/>
                <w:szCs w:val="16"/>
              </w:rPr>
            </w:pPr>
            <w:r w:rsidRPr="00BC5EF8">
              <w:rPr>
                <w:rFonts w:ascii="Calibri" w:hAnsi="Calibri" w:cs="Calibri"/>
                <w:sz w:val="16"/>
                <w:szCs w:val="16"/>
                <w:u w:val="single"/>
              </w:rPr>
              <w:t>Target:</w:t>
            </w:r>
            <w:r w:rsidRPr="00BC5EF8">
              <w:rPr>
                <w:rFonts w:ascii="Calibri" w:hAnsi="Calibri" w:cs="Calibri"/>
                <w:sz w:val="16"/>
                <w:szCs w:val="16"/>
              </w:rPr>
              <w:t xml:space="preserve"> 100%.</w:t>
            </w:r>
          </w:p>
        </w:tc>
        <w:tc>
          <w:tcPr>
            <w:tcW w:w="407" w:type="pct"/>
          </w:tcPr>
          <w:p w14:paraId="18CA3EEB" w14:textId="77777777" w:rsidR="00B852B1" w:rsidRPr="00BC5EF8" w:rsidRDefault="00B852B1" w:rsidP="00192573">
            <w:pPr>
              <w:spacing w:after="0" w:line="240" w:lineRule="auto"/>
              <w:rPr>
                <w:rFonts w:ascii="Calibri" w:hAnsi="Calibri" w:cs="Calibri"/>
                <w:sz w:val="16"/>
                <w:szCs w:val="16"/>
              </w:rPr>
            </w:pPr>
            <w:r w:rsidRPr="00BC5EF8">
              <w:rPr>
                <w:rFonts w:ascii="Calibri" w:hAnsi="Calibri" w:cs="Calibri"/>
                <w:sz w:val="16"/>
                <w:szCs w:val="16"/>
              </w:rPr>
              <w:t>Year 1</w:t>
            </w:r>
          </w:p>
        </w:tc>
        <w:tc>
          <w:tcPr>
            <w:tcW w:w="428" w:type="pct"/>
          </w:tcPr>
          <w:p w14:paraId="21DC86E1" w14:textId="77777777" w:rsidR="00B852B1" w:rsidRPr="00BC5EF8" w:rsidRDefault="00B852B1" w:rsidP="00192573">
            <w:pPr>
              <w:spacing w:after="0" w:line="240" w:lineRule="auto"/>
              <w:rPr>
                <w:rFonts w:ascii="Calibri" w:hAnsi="Calibri" w:cs="Calibri"/>
                <w:sz w:val="16"/>
                <w:szCs w:val="16"/>
              </w:rPr>
            </w:pPr>
            <w:r w:rsidRPr="00BC5EF8">
              <w:rPr>
                <w:rFonts w:ascii="Calibri" w:hAnsi="Calibri" w:cs="Calibri"/>
                <w:sz w:val="16"/>
                <w:szCs w:val="16"/>
              </w:rPr>
              <w:t>Covered by output budget.</w:t>
            </w:r>
          </w:p>
        </w:tc>
      </w:tr>
    </w:tbl>
    <w:p w14:paraId="3EFDF81C" w14:textId="77777777" w:rsidR="00B852B1" w:rsidRDefault="00B852B1" w:rsidP="00B852B1">
      <w:pPr>
        <w:jc w:val="both"/>
      </w:pPr>
    </w:p>
    <w:p w14:paraId="27C6C104" w14:textId="77777777" w:rsidR="00B852B1" w:rsidRDefault="00B852B1" w:rsidP="00B852B1">
      <w:pPr>
        <w:jc w:val="both"/>
      </w:pPr>
    </w:p>
    <w:sectPr w:rsidR="00B85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44FDE"/>
    <w:multiLevelType w:val="hybridMultilevel"/>
    <w:tmpl w:val="69A8C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5007C"/>
    <w:multiLevelType w:val="hybridMultilevel"/>
    <w:tmpl w:val="7E1EE56A"/>
    <w:lvl w:ilvl="0" w:tplc="BFE40A7E">
      <w:start w:val="1"/>
      <w:numFmt w:val="lowerLetter"/>
      <w:lvlText w:val="%1)"/>
      <w:lvlJc w:val="left"/>
      <w:pPr>
        <w:ind w:left="720" w:hanging="360"/>
      </w:pPr>
      <w:rPr>
        <w:rFonts w:hint="default"/>
        <w:color w:val="auto"/>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 w15:restartNumberingAfterBreak="0">
    <w:nsid w:val="0B3E7C9B"/>
    <w:multiLevelType w:val="hybridMultilevel"/>
    <w:tmpl w:val="7E1EE56A"/>
    <w:lvl w:ilvl="0" w:tplc="BFE40A7E">
      <w:start w:val="1"/>
      <w:numFmt w:val="lowerLetter"/>
      <w:lvlText w:val="%1)"/>
      <w:lvlJc w:val="left"/>
      <w:pPr>
        <w:ind w:left="720" w:hanging="360"/>
      </w:pPr>
      <w:rPr>
        <w:rFonts w:hint="default"/>
        <w:color w:val="auto"/>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3" w15:restartNumberingAfterBreak="0">
    <w:nsid w:val="128A6B1F"/>
    <w:multiLevelType w:val="hybridMultilevel"/>
    <w:tmpl w:val="837C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C64EA"/>
    <w:multiLevelType w:val="hybridMultilevel"/>
    <w:tmpl w:val="02F84016"/>
    <w:lvl w:ilvl="0" w:tplc="90548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001A4"/>
    <w:multiLevelType w:val="hybridMultilevel"/>
    <w:tmpl w:val="53F6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EA1E8F"/>
    <w:multiLevelType w:val="hybridMultilevel"/>
    <w:tmpl w:val="0C4046A8"/>
    <w:lvl w:ilvl="0" w:tplc="1896908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AC750B"/>
    <w:multiLevelType w:val="hybridMultilevel"/>
    <w:tmpl w:val="92DA2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817D53"/>
    <w:multiLevelType w:val="hybridMultilevel"/>
    <w:tmpl w:val="8EE69BEC"/>
    <w:lvl w:ilvl="0" w:tplc="22D0CD96">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E522DEB"/>
    <w:multiLevelType w:val="hybridMultilevel"/>
    <w:tmpl w:val="9F6E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74279C"/>
    <w:multiLevelType w:val="hybridMultilevel"/>
    <w:tmpl w:val="D9AE9FC0"/>
    <w:lvl w:ilvl="0" w:tplc="F2FA27D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860333"/>
    <w:multiLevelType w:val="hybridMultilevel"/>
    <w:tmpl w:val="C562C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5C09D0"/>
    <w:multiLevelType w:val="hybridMultilevel"/>
    <w:tmpl w:val="EE1AEBBE"/>
    <w:lvl w:ilvl="0" w:tplc="9858F0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8D1FF4"/>
    <w:multiLevelType w:val="hybridMultilevel"/>
    <w:tmpl w:val="E5A6D1CE"/>
    <w:lvl w:ilvl="0" w:tplc="86D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3"/>
  </w:num>
  <w:num w:numId="4">
    <w:abstractNumId w:val="4"/>
  </w:num>
  <w:num w:numId="5">
    <w:abstractNumId w:val="7"/>
  </w:num>
  <w:num w:numId="6">
    <w:abstractNumId w:val="6"/>
  </w:num>
  <w:num w:numId="7">
    <w:abstractNumId w:val="9"/>
  </w:num>
  <w:num w:numId="8">
    <w:abstractNumId w:val="3"/>
  </w:num>
  <w:num w:numId="9">
    <w:abstractNumId w:val="10"/>
  </w:num>
  <w:num w:numId="10">
    <w:abstractNumId w:val="0"/>
  </w:num>
  <w:num w:numId="11">
    <w:abstractNumId w:val="11"/>
  </w:num>
  <w:num w:numId="12">
    <w:abstractNumId w:val="5"/>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EC8"/>
    <w:rsid w:val="000110AA"/>
    <w:rsid w:val="00051467"/>
    <w:rsid w:val="000C75F1"/>
    <w:rsid w:val="0012523F"/>
    <w:rsid w:val="00161C0F"/>
    <w:rsid w:val="00191F46"/>
    <w:rsid w:val="00192E66"/>
    <w:rsid w:val="001C0013"/>
    <w:rsid w:val="001E2A84"/>
    <w:rsid w:val="001F4B86"/>
    <w:rsid w:val="002C077A"/>
    <w:rsid w:val="002C66E8"/>
    <w:rsid w:val="0031101B"/>
    <w:rsid w:val="00321000"/>
    <w:rsid w:val="00336983"/>
    <w:rsid w:val="003564C0"/>
    <w:rsid w:val="003566CF"/>
    <w:rsid w:val="0039628A"/>
    <w:rsid w:val="003B224E"/>
    <w:rsid w:val="003F4065"/>
    <w:rsid w:val="0043633D"/>
    <w:rsid w:val="00467AC5"/>
    <w:rsid w:val="004A30C1"/>
    <w:rsid w:val="004B5041"/>
    <w:rsid w:val="004D6DA9"/>
    <w:rsid w:val="005321CB"/>
    <w:rsid w:val="005E37B8"/>
    <w:rsid w:val="00643441"/>
    <w:rsid w:val="006930AD"/>
    <w:rsid w:val="006D4FA2"/>
    <w:rsid w:val="007877AE"/>
    <w:rsid w:val="007A47F8"/>
    <w:rsid w:val="007E5D06"/>
    <w:rsid w:val="007E781D"/>
    <w:rsid w:val="00811B0F"/>
    <w:rsid w:val="00813B4B"/>
    <w:rsid w:val="008A6223"/>
    <w:rsid w:val="008B2D85"/>
    <w:rsid w:val="008F0322"/>
    <w:rsid w:val="00913FA8"/>
    <w:rsid w:val="00921EC8"/>
    <w:rsid w:val="00941C0D"/>
    <w:rsid w:val="00976F29"/>
    <w:rsid w:val="009C02C1"/>
    <w:rsid w:val="009C0B72"/>
    <w:rsid w:val="009D68C4"/>
    <w:rsid w:val="00A25B73"/>
    <w:rsid w:val="00A27E0C"/>
    <w:rsid w:val="00A306F2"/>
    <w:rsid w:val="00A74490"/>
    <w:rsid w:val="00AB485F"/>
    <w:rsid w:val="00B16FD1"/>
    <w:rsid w:val="00B67672"/>
    <w:rsid w:val="00B80490"/>
    <w:rsid w:val="00B852B1"/>
    <w:rsid w:val="00C66210"/>
    <w:rsid w:val="00C95E41"/>
    <w:rsid w:val="00D15B53"/>
    <w:rsid w:val="00D23E9F"/>
    <w:rsid w:val="00D46C6A"/>
    <w:rsid w:val="00DC7AAA"/>
    <w:rsid w:val="00E4191F"/>
    <w:rsid w:val="00EE6239"/>
    <w:rsid w:val="00EF7C1C"/>
    <w:rsid w:val="00FB2C14"/>
    <w:rsid w:val="00FD61D5"/>
    <w:rsid w:val="00FE4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D1DD"/>
  <w15:chartTrackingRefBased/>
  <w15:docId w15:val="{910B08D4-3420-41B2-B03A-7CCC45059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Paragraphe de liste1,List Paragraph11,List Paragraph1,Para,ADB paragraph numbering,List Paragraph (numbered (a)),WB Para,Numbered paragraph,List Paragraph-ExecSummary,References,List Paragraph (bulleted list),Bullet 1 List,Liste 1"/>
    <w:basedOn w:val="Normal"/>
    <w:link w:val="ListParagraphChar"/>
    <w:uiPriority w:val="72"/>
    <w:qFormat/>
    <w:rsid w:val="008B2D85"/>
    <w:pPr>
      <w:ind w:left="720"/>
      <w:contextualSpacing/>
    </w:pPr>
  </w:style>
  <w:style w:type="character" w:styleId="CommentReference">
    <w:name w:val="annotation reference"/>
    <w:basedOn w:val="DefaultParagraphFont"/>
    <w:uiPriority w:val="99"/>
    <w:semiHidden/>
    <w:unhideWhenUsed/>
    <w:rsid w:val="00C95E41"/>
    <w:rPr>
      <w:sz w:val="16"/>
      <w:szCs w:val="16"/>
    </w:rPr>
  </w:style>
  <w:style w:type="paragraph" w:styleId="CommentText">
    <w:name w:val="annotation text"/>
    <w:basedOn w:val="Normal"/>
    <w:link w:val="CommentTextChar"/>
    <w:uiPriority w:val="99"/>
    <w:semiHidden/>
    <w:unhideWhenUsed/>
    <w:rsid w:val="00C95E41"/>
    <w:pPr>
      <w:spacing w:line="240" w:lineRule="auto"/>
    </w:pPr>
    <w:rPr>
      <w:sz w:val="20"/>
      <w:szCs w:val="20"/>
    </w:rPr>
  </w:style>
  <w:style w:type="character" w:customStyle="1" w:styleId="CommentTextChar">
    <w:name w:val="Comment Text Char"/>
    <w:basedOn w:val="DefaultParagraphFont"/>
    <w:link w:val="CommentText"/>
    <w:uiPriority w:val="99"/>
    <w:semiHidden/>
    <w:rsid w:val="00C95E41"/>
    <w:rPr>
      <w:sz w:val="20"/>
      <w:szCs w:val="20"/>
    </w:rPr>
  </w:style>
  <w:style w:type="paragraph" w:styleId="CommentSubject">
    <w:name w:val="annotation subject"/>
    <w:basedOn w:val="CommentText"/>
    <w:next w:val="CommentText"/>
    <w:link w:val="CommentSubjectChar"/>
    <w:uiPriority w:val="99"/>
    <w:semiHidden/>
    <w:unhideWhenUsed/>
    <w:rsid w:val="00C95E41"/>
    <w:rPr>
      <w:b/>
      <w:bCs/>
    </w:rPr>
  </w:style>
  <w:style w:type="character" w:customStyle="1" w:styleId="CommentSubjectChar">
    <w:name w:val="Comment Subject Char"/>
    <w:basedOn w:val="CommentTextChar"/>
    <w:link w:val="CommentSubject"/>
    <w:uiPriority w:val="99"/>
    <w:semiHidden/>
    <w:rsid w:val="00C95E41"/>
    <w:rPr>
      <w:b/>
      <w:bCs/>
      <w:sz w:val="20"/>
      <w:szCs w:val="20"/>
    </w:rPr>
  </w:style>
  <w:style w:type="paragraph" w:styleId="BalloonText">
    <w:name w:val="Balloon Text"/>
    <w:basedOn w:val="Normal"/>
    <w:link w:val="BalloonTextChar"/>
    <w:uiPriority w:val="99"/>
    <w:semiHidden/>
    <w:unhideWhenUsed/>
    <w:rsid w:val="00C95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E41"/>
    <w:rPr>
      <w:rFonts w:ascii="Segoe UI" w:hAnsi="Segoe UI" w:cs="Segoe UI"/>
      <w:sz w:val="18"/>
      <w:szCs w:val="18"/>
    </w:rPr>
  </w:style>
  <w:style w:type="character" w:customStyle="1" w:styleId="ListParagraphChar">
    <w:name w:val="List Paragraph Char"/>
    <w:aliases w:val="Bullets Char,Paragraphe de liste1 Char,List Paragraph11 Char,List Paragraph1 Char,Para Char,ADB paragraph numbering Char,List Paragraph (numbered (a)) Char,WB Para Char,Numbered paragraph Char,List Paragraph-ExecSummary Char"/>
    <w:link w:val="ListParagraph"/>
    <w:uiPriority w:val="72"/>
    <w:rsid w:val="00913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Simoneau, Nathalie</dc:creator>
  <cp:keywords/>
  <dc:description/>
  <cp:lastModifiedBy>Simoneau, Nathalie</cp:lastModifiedBy>
  <cp:revision>6</cp:revision>
  <dcterms:created xsi:type="dcterms:W3CDTF">2019-08-29T18:40:00Z</dcterms:created>
  <dcterms:modified xsi:type="dcterms:W3CDTF">2020-07-09T16:51:00Z</dcterms:modified>
</cp:coreProperties>
</file>