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E26784" w14:textId="77777777" w:rsidR="00BF593A" w:rsidRDefault="00BF593A" w:rsidP="00C1072E">
      <w:pPr>
        <w:pStyle w:val="Title"/>
      </w:pPr>
    </w:p>
    <w:p w14:paraId="73001975" w14:textId="7D40C902" w:rsidR="00BF593A" w:rsidRDefault="00BF593A" w:rsidP="00C1072E">
      <w:pPr>
        <w:pStyle w:val="Title"/>
      </w:pPr>
      <w:r w:rsidRPr="00BF14EB">
        <w:t>MONITORING AND EVALUATION</w:t>
      </w:r>
    </w:p>
    <w:p w14:paraId="396C4438" w14:textId="77777777" w:rsidR="00C1072E" w:rsidRPr="00C1072E" w:rsidRDefault="00C1072E" w:rsidP="00C1072E"/>
    <w:p w14:paraId="3DA77BDC" w14:textId="527A8EBF" w:rsidR="00BF593A" w:rsidRPr="00BF14EB" w:rsidRDefault="00BF593A" w:rsidP="00A44661">
      <w:pPr>
        <w:pStyle w:val="11"/>
      </w:pPr>
      <w:bookmarkStart w:id="0" w:name="_Toc462315130"/>
      <w:r w:rsidRPr="00BF14EB">
        <w:t>Project Staff Dedicated to M&amp;E</w:t>
      </w:r>
      <w:bookmarkEnd w:id="0"/>
    </w:p>
    <w:p w14:paraId="5D476D0E" w14:textId="63ECA7FA" w:rsidR="00BF593A" w:rsidRPr="00BF14EB" w:rsidRDefault="00BF593A" w:rsidP="00BF593A">
      <w:pPr>
        <w:spacing w:line="240" w:lineRule="auto"/>
        <w:contextualSpacing/>
      </w:pPr>
      <w:r w:rsidRPr="00BF14EB">
        <w:t xml:space="preserve">The Project Management Unit (PMU) is responsible for ensuring the monitoring and evaluation activities are carried out in a timely and comprehensive manner, and for initiating and facilitating key monitoring and evaluation activities, such as the independent external evaluations at the midterm and end of the project. WWF staff within the PMU all serve various roles in project M&amp;E. </w:t>
      </w:r>
    </w:p>
    <w:p w14:paraId="182F8C87" w14:textId="58223D5D" w:rsidR="00BF593A" w:rsidRPr="00730C61" w:rsidRDefault="00BF593A" w:rsidP="00730C61">
      <w:pPr>
        <w:pStyle w:val="xxx"/>
      </w:pPr>
      <w:r w:rsidRPr="00730C61">
        <w:t>Project Management Unit</w:t>
      </w:r>
    </w:p>
    <w:p w14:paraId="732ED3BB" w14:textId="3EA42899" w:rsidR="00BF593A" w:rsidRDefault="00BF593A" w:rsidP="00BF0843">
      <w:pPr>
        <w:spacing w:line="240" w:lineRule="auto"/>
        <w:contextualSpacing/>
      </w:pPr>
      <w:r w:rsidRPr="00BF14EB">
        <w:rPr>
          <w:u w:val="single"/>
        </w:rPr>
        <w:t>Project Manager</w:t>
      </w:r>
      <w:r w:rsidRPr="00BF14EB">
        <w:t xml:space="preserve">, PMU </w:t>
      </w:r>
      <w:r w:rsidRPr="00BF14EB">
        <w:br/>
        <w:t xml:space="preserve">The Project Manager is responsible for completing project progress reports and ensuring that the project M&amp;E plan is implemented to WWF and GEF standards, on time to meet reporting deadlines and of highest possible quality. The PMU lead oversees the collaborative development of annual project work plans (with implementing partners) and their implementation, based on the reflections of the progress reports and M&amp;E plans.   </w:t>
      </w:r>
    </w:p>
    <w:p w14:paraId="4F623D44" w14:textId="77777777" w:rsidR="00C36155" w:rsidRPr="00BF14EB" w:rsidRDefault="00C36155" w:rsidP="00BF0843">
      <w:pPr>
        <w:spacing w:line="240" w:lineRule="auto"/>
        <w:contextualSpacing/>
      </w:pPr>
    </w:p>
    <w:p w14:paraId="667DB214" w14:textId="06D53139" w:rsidR="00BF593A" w:rsidRDefault="00BF593A" w:rsidP="00BF0843">
      <w:pPr>
        <w:spacing w:line="240" w:lineRule="auto"/>
        <w:contextualSpacing/>
      </w:pPr>
      <w:r w:rsidRPr="00BF14EB">
        <w:rPr>
          <w:u w:val="single"/>
        </w:rPr>
        <w:t>Monitoring, Evaluation, and Reporting Officer</w:t>
      </w:r>
      <w:r w:rsidRPr="00BF14EB">
        <w:t>, PMU</w:t>
      </w:r>
      <w:r w:rsidRPr="00BF14EB">
        <w:br/>
        <w:t xml:space="preserve">Under the guidance and supervision of the Program Manager, the Monitoring, Evaluation &amp; Reporting Program Officer (M&amp;E Officer) will be responsible for M&amp;E activities including tracking project implementation against the project work plans, which will be implemented by WWF and a diverse group of partner organizations. The M&amp;E Officer will be responsible for consolidating, collecting and analyzing different data in relation to the project activities, outputs, and outcomes; maintaining the M&amp;E plan and results framework of the project; and assisting the Project Manager in preparing semi-annual/annual reports on project progress. Through the collection and analysis of high quality and timely data inputs, the M&amp;E Officer is responsible for ensuring that the project maintains its strategic vision and that its activities result in the achievement of its intended outputs and outcomes in a cost effective and timely manner. In addition, the M&amp;E Officer is responsible for conducting an initial analysis that identifies potential opportunities for adaptive </w:t>
      </w:r>
      <w:r w:rsidR="00730C61" w:rsidRPr="00BF14EB">
        <w:t>management and</w:t>
      </w:r>
      <w:r w:rsidRPr="00BF14EB">
        <w:t xml:space="preserve"> will seek feedback from the PMU and partners throughout the analysis.  </w:t>
      </w:r>
    </w:p>
    <w:p w14:paraId="3BCE112D" w14:textId="77777777" w:rsidR="00C36155" w:rsidRPr="00BF14EB" w:rsidRDefault="00C36155" w:rsidP="00BF0843">
      <w:pPr>
        <w:spacing w:line="240" w:lineRule="auto"/>
        <w:contextualSpacing/>
      </w:pPr>
    </w:p>
    <w:p w14:paraId="7F25A0EC" w14:textId="1F31BD93" w:rsidR="00BF593A" w:rsidRPr="00BF14EB" w:rsidRDefault="00BF593A" w:rsidP="00BF0843">
      <w:pPr>
        <w:spacing w:line="240" w:lineRule="auto"/>
        <w:contextualSpacing/>
      </w:pPr>
      <w:r w:rsidRPr="00BF14EB">
        <w:rPr>
          <w:u w:val="single"/>
        </w:rPr>
        <w:t>Financial Manager</w:t>
      </w:r>
      <w:r w:rsidRPr="00BF14EB">
        <w:t>, PMU</w:t>
      </w:r>
    </w:p>
    <w:p w14:paraId="619B8102" w14:textId="62A77342" w:rsidR="00BF593A" w:rsidRDefault="00BF593A" w:rsidP="00BF0843">
      <w:pPr>
        <w:spacing w:after="0" w:line="240" w:lineRule="auto"/>
      </w:pPr>
      <w:r w:rsidRPr="00BF14EB">
        <w:t xml:space="preserve">The Financial Manager is responsible for tracking the budget; facilitating financial transactions between GEF, WWF, and executing partners; and preparing and delivering the quarterly project-level financial reports included in the M&amp;E plan. </w:t>
      </w:r>
    </w:p>
    <w:p w14:paraId="4CFD906E" w14:textId="77777777" w:rsidR="00C36155" w:rsidRDefault="00C36155" w:rsidP="00BF0843">
      <w:pPr>
        <w:spacing w:after="0" w:line="240" w:lineRule="auto"/>
      </w:pPr>
    </w:p>
    <w:p w14:paraId="49E6FEA9" w14:textId="12AA59F7" w:rsidR="00730C61" w:rsidRDefault="00730C61" w:rsidP="00BF0843">
      <w:pPr>
        <w:spacing w:after="0" w:line="240" w:lineRule="auto"/>
        <w:rPr>
          <w:u w:val="single"/>
        </w:rPr>
      </w:pPr>
      <w:r w:rsidRPr="00730C61">
        <w:rPr>
          <w:u w:val="single"/>
        </w:rPr>
        <w:t>Field staff</w:t>
      </w:r>
      <w:r>
        <w:rPr>
          <w:u w:val="single"/>
        </w:rPr>
        <w:t>, PMU</w:t>
      </w:r>
    </w:p>
    <w:p w14:paraId="79A8196E" w14:textId="0238346C" w:rsidR="00730C61" w:rsidRPr="00730C61" w:rsidRDefault="00730C61" w:rsidP="00BF0843">
      <w:pPr>
        <w:spacing w:after="0" w:line="240" w:lineRule="auto"/>
      </w:pPr>
      <w:r>
        <w:t>The project field staff will be directly responsible for collecting data for efficiency and cost savings. For example, when the field staff holds trainings, they will be responsible for circulating a sign-up sheet and gathering disaggregated information, such as sex or indigenous group of participants. This will be delivered to the M&amp;E officer for their data consolidation.</w:t>
      </w:r>
    </w:p>
    <w:p w14:paraId="1FBBD58B" w14:textId="77777777" w:rsidR="00C36155" w:rsidRDefault="00C36155" w:rsidP="00C36155">
      <w:pPr>
        <w:spacing w:after="0" w:line="240" w:lineRule="auto"/>
      </w:pPr>
    </w:p>
    <w:p w14:paraId="25B10C8F" w14:textId="35CE20C5" w:rsidR="00BF593A" w:rsidRPr="00C36155" w:rsidRDefault="00730C61" w:rsidP="00C36155">
      <w:pPr>
        <w:spacing w:after="0" w:line="240" w:lineRule="auto"/>
        <w:rPr>
          <w:u w:val="single"/>
        </w:rPr>
      </w:pPr>
      <w:r w:rsidRPr="00C36155">
        <w:rPr>
          <w:u w:val="single"/>
        </w:rPr>
        <w:t>Consultants</w:t>
      </w:r>
      <w:r w:rsidR="004D408A">
        <w:rPr>
          <w:u w:val="single"/>
        </w:rPr>
        <w:t xml:space="preserve"> [</w:t>
      </w:r>
      <w:r w:rsidR="004D408A" w:rsidRPr="004D408A">
        <w:rPr>
          <w:highlight w:val="yellow"/>
          <w:u w:val="single"/>
        </w:rPr>
        <w:t>if relevant</w:t>
      </w:r>
      <w:r w:rsidR="004D408A">
        <w:rPr>
          <w:u w:val="single"/>
        </w:rPr>
        <w:t>]</w:t>
      </w:r>
    </w:p>
    <w:p w14:paraId="03CDE05D" w14:textId="7A52D0B2" w:rsidR="00730C61" w:rsidRDefault="00C36155" w:rsidP="00C36155">
      <w:pPr>
        <w:spacing w:after="0" w:line="240" w:lineRule="auto"/>
      </w:pPr>
      <w:r w:rsidRPr="00C36155">
        <w:rPr>
          <w:highlight w:val="yellow"/>
        </w:rPr>
        <w:lastRenderedPageBreak/>
        <w:t>xx</w:t>
      </w:r>
      <w:r w:rsidR="00730C61">
        <w:t xml:space="preserve"> indicators </w:t>
      </w:r>
      <w:r>
        <w:t>will</w:t>
      </w:r>
      <w:r w:rsidR="00730C61">
        <w:t xml:space="preserve"> require the use of hired external consultants to collect data in the field. For example, the use of surveys will most likely be led by consultant experts who are knowledgeable about collecting survey data. This will be managed and consolidated by the M&amp;E Officer and Project Manager.</w:t>
      </w:r>
    </w:p>
    <w:p w14:paraId="2DD5FC4F" w14:textId="77777777" w:rsidR="00730C61" w:rsidRPr="00730C61" w:rsidRDefault="00730C61" w:rsidP="00C7575B">
      <w:pPr>
        <w:pStyle w:val="11"/>
        <w:rPr>
          <w:b/>
        </w:rPr>
      </w:pPr>
    </w:p>
    <w:p w14:paraId="4CA3099A" w14:textId="0F3D82FB" w:rsidR="00BF593A" w:rsidRDefault="00F22D51" w:rsidP="00A44661">
      <w:pPr>
        <w:pStyle w:val="11"/>
      </w:pPr>
      <w:r>
        <w:t>Commitment and approach</w:t>
      </w:r>
      <w:r w:rsidR="00C7575B">
        <w:t xml:space="preserve"> to M&amp;E</w:t>
      </w:r>
    </w:p>
    <w:p w14:paraId="7829B88A" w14:textId="3DB5920D" w:rsidR="00C7575B" w:rsidRPr="00C36155" w:rsidRDefault="00C7575B" w:rsidP="00C36155">
      <w:pPr>
        <w:spacing w:after="0" w:line="240" w:lineRule="auto"/>
      </w:pPr>
      <w:r w:rsidRPr="00C36155">
        <w:t xml:space="preserve">Developed in conjunction with major international environmental NGOs and endorsed by the WWF Network, the WWF Program and Project Management Standards lend consistency to planning, implementing, monitoring and reporting effective conservation projects and programs worldwide. The monitoring and evaluation (M&amp;E) </w:t>
      </w:r>
      <w:r w:rsidR="0049289E">
        <w:t>matrix</w:t>
      </w:r>
      <w:r w:rsidRPr="00C36155">
        <w:t>, known as the Results Framework, is designed to help project teams plan, execute, monitor and report progress towards expected results in a consistent and routine manner. Performance indicators have been select</w:t>
      </w:r>
      <w:bookmarkStart w:id="1" w:name="_GoBack"/>
      <w:bookmarkEnd w:id="1"/>
      <w:r w:rsidRPr="00C36155">
        <w:t>ed</w:t>
      </w:r>
      <w:r w:rsidR="00F22D51" w:rsidRPr="00C36155">
        <w:t xml:space="preserve"> with indicators and methodologies </w:t>
      </w:r>
      <w:r w:rsidRPr="00C36155">
        <w:t>clearly defined to enable uniform data collection and analysis</w:t>
      </w:r>
      <w:r w:rsidR="00F22D51" w:rsidRPr="00C36155">
        <w:t>. The indicators will be in alignment where possible w</w:t>
      </w:r>
      <w:r w:rsidRPr="00C36155">
        <w:t>ith Focal Area objectives</w:t>
      </w:r>
      <w:r w:rsidR="00822F8D" w:rsidRPr="00C36155">
        <w:t>, the METT</w:t>
      </w:r>
      <w:r w:rsidR="00C36155">
        <w:t xml:space="preserve"> [</w:t>
      </w:r>
      <w:r w:rsidR="00C36155" w:rsidRPr="00C36155">
        <w:rPr>
          <w:highlight w:val="yellow"/>
        </w:rPr>
        <w:t>if relevant</w:t>
      </w:r>
      <w:r w:rsidR="00C36155">
        <w:t>]</w:t>
      </w:r>
      <w:r w:rsidR="00822F8D" w:rsidRPr="00C36155">
        <w:t>,</w:t>
      </w:r>
      <w:r w:rsidRPr="00C36155">
        <w:t xml:space="preserve"> </w:t>
      </w:r>
      <w:r w:rsidR="00F22D51" w:rsidRPr="00C36155">
        <w:t>and</w:t>
      </w:r>
      <w:r w:rsidRPr="00C36155">
        <w:t xml:space="preserve"> GEF </w:t>
      </w:r>
      <w:r w:rsidR="00BF0843" w:rsidRPr="00C36155">
        <w:t>Core Indicators.</w:t>
      </w:r>
      <w:r w:rsidRPr="00C36155">
        <w:t xml:space="preserve"> The frequency and schedule of data collection is defined for the project, as well as the roles and responsibilities of project team members.</w:t>
      </w:r>
      <w:r w:rsidR="00F22D51" w:rsidRPr="00C36155">
        <w:t xml:space="preserve"> Please see the Results Framework for these details.</w:t>
      </w:r>
    </w:p>
    <w:p w14:paraId="36842ADC" w14:textId="77777777" w:rsidR="00C36155" w:rsidRPr="00C36155" w:rsidRDefault="00C36155" w:rsidP="00C36155">
      <w:pPr>
        <w:spacing w:after="0" w:line="240" w:lineRule="auto"/>
      </w:pPr>
    </w:p>
    <w:p w14:paraId="73999013" w14:textId="46499387" w:rsidR="00C7575B" w:rsidRPr="00C36155" w:rsidRDefault="00C7575B" w:rsidP="00C36155">
      <w:pPr>
        <w:spacing w:after="0" w:line="240" w:lineRule="auto"/>
      </w:pPr>
      <w:r w:rsidRPr="00C36155">
        <w:t>The project team will analyze the data that is collected to determine whether their strategies are working or whether they need to reevaluate their strategies or theory of change. This is referred to as adaptive management and is core to the project’s success. In support of this adaptive management approach, an annual exercise will be held (for instance, during project coordination committee meetings),</w:t>
      </w:r>
      <w:r w:rsidR="00C36155" w:rsidRPr="00C36155">
        <w:t xml:space="preserve"> </w:t>
      </w:r>
      <w:r w:rsidRPr="00C36155">
        <w:t xml:space="preserve">so that the project management unit and other relevant stakeholders can reflect on monitoring data and the validity of the project theory of change.  </w:t>
      </w:r>
      <w:r w:rsidR="00A44661" w:rsidRPr="00C36155">
        <w:t xml:space="preserve">See more on this below. </w:t>
      </w:r>
    </w:p>
    <w:p w14:paraId="6539122D" w14:textId="076D132A" w:rsidR="00C7575B" w:rsidRPr="00C36155" w:rsidRDefault="00C7575B" w:rsidP="00C36155">
      <w:pPr>
        <w:spacing w:after="0" w:line="240" w:lineRule="auto"/>
      </w:pPr>
      <w:r w:rsidRPr="00C36155">
        <w:t>Project monitoring and evaluation (M&amp;E) is a cornerstone of WWF GEF standards and is deeply embedded within the project</w:t>
      </w:r>
      <w:r w:rsidR="00BF0843" w:rsidRPr="00C36155">
        <w:t>.</w:t>
      </w:r>
    </w:p>
    <w:p w14:paraId="7E84F28B" w14:textId="77777777" w:rsidR="00C36155" w:rsidRPr="00C36155" w:rsidRDefault="00C36155" w:rsidP="00C36155">
      <w:pPr>
        <w:spacing w:after="0" w:line="240" w:lineRule="auto"/>
        <w:rPr>
          <w:highlight w:val="yellow"/>
        </w:rPr>
      </w:pPr>
    </w:p>
    <w:p w14:paraId="61324D4D" w14:textId="587DB542" w:rsidR="00A44661" w:rsidRDefault="00A44661" w:rsidP="00A44661">
      <w:pPr>
        <w:pStyle w:val="11"/>
      </w:pPr>
      <w:r>
        <w:t>Summary of Monitoring Activities and Reporting</w:t>
      </w:r>
    </w:p>
    <w:p w14:paraId="4C6F0153" w14:textId="14FE907E" w:rsidR="00003C6E" w:rsidRPr="00003C6E" w:rsidRDefault="00003C6E" w:rsidP="00003C6E">
      <w:pPr>
        <w:rPr>
          <w:rFonts w:eastAsia="Times New Roman" w:cs="Times New Roman"/>
          <w:u w:val="single"/>
        </w:rPr>
      </w:pPr>
      <w:r w:rsidRPr="00003C6E">
        <w:rPr>
          <w:rFonts w:eastAsia="Times New Roman" w:cs="Times New Roman"/>
          <w:u w:val="single"/>
        </w:rPr>
        <w:t>The PMU and Project Executing Agency is responsible for the following reporting elements:</w:t>
      </w:r>
    </w:p>
    <w:p w14:paraId="25B42DC4" w14:textId="32AA5AED" w:rsidR="00BF593A" w:rsidRPr="00BF14EB" w:rsidRDefault="00BF593A" w:rsidP="00BF593A">
      <w:pPr>
        <w:spacing w:after="0"/>
        <w:rPr>
          <w:b/>
        </w:rPr>
      </w:pPr>
      <w:r w:rsidRPr="00BF14EB">
        <w:rPr>
          <w:b/>
        </w:rPr>
        <w:t>Project Results Framework</w:t>
      </w:r>
    </w:p>
    <w:p w14:paraId="0C4C835C" w14:textId="022196A1" w:rsidR="00BF593A" w:rsidRDefault="00BF593A" w:rsidP="00BF593A">
      <w:pPr>
        <w:spacing w:after="0" w:line="240" w:lineRule="auto"/>
      </w:pPr>
      <w:r w:rsidRPr="00BF14EB">
        <w:t>The Project Results Framework (A</w:t>
      </w:r>
      <w:r>
        <w:t>nnex</w:t>
      </w:r>
      <w:r w:rsidRPr="00BF14EB">
        <w:t xml:space="preserve"> </w:t>
      </w:r>
      <w:r w:rsidRPr="00095F84">
        <w:rPr>
          <w:highlight w:val="yellow"/>
        </w:rPr>
        <w:t>X</w:t>
      </w:r>
      <w:r w:rsidRPr="00BF14EB">
        <w:t xml:space="preserve">) includes objectives, outcomes, and indicators for each; </w:t>
      </w:r>
      <w:r w:rsidR="00BF0843">
        <w:t xml:space="preserve">definitions of indictors; </w:t>
      </w:r>
      <w:r w:rsidRPr="00BF14EB">
        <w:t xml:space="preserve">methodology for data collection and analysis; responsible parties; frequency of data collection; baseline information; targets; monitoring cost; and assumptions. The monitoring of these indicators throughout the life of the project will be necessary to assess if the project has successfully achieved its expected results.  </w:t>
      </w:r>
    </w:p>
    <w:p w14:paraId="5D9C45F9" w14:textId="4F355719" w:rsidR="00822F8D" w:rsidRDefault="00822F8D" w:rsidP="00BF593A">
      <w:pPr>
        <w:spacing w:after="0" w:line="240" w:lineRule="auto"/>
      </w:pPr>
    </w:p>
    <w:p w14:paraId="38D77BA7" w14:textId="14888FBC" w:rsidR="00C36155" w:rsidRPr="00C36155" w:rsidRDefault="00822F8D" w:rsidP="00C36155">
      <w:pPr>
        <w:spacing w:after="0" w:line="240" w:lineRule="auto"/>
        <w:rPr>
          <w:b/>
        </w:rPr>
      </w:pPr>
      <w:r w:rsidRPr="00C36155">
        <w:rPr>
          <w:b/>
        </w:rPr>
        <w:t>Annual Work Plan Tracking</w:t>
      </w:r>
    </w:p>
    <w:p w14:paraId="4C5B2B4E" w14:textId="3CC3A681" w:rsidR="00822F8D" w:rsidRPr="00C36155" w:rsidRDefault="00822F8D" w:rsidP="00C36155">
      <w:pPr>
        <w:spacing w:after="0" w:line="240" w:lineRule="auto"/>
      </w:pPr>
      <w:r w:rsidRPr="00C36155">
        <w:t xml:space="preserve">Towards the end of each project year, the executing agency’s PMU will work with project partners to develop a detailed Annual Work Plan and Budget (AWPB) that includes targets for key activities to achieve the outputs. When possible, the development of the annual work plan should </w:t>
      </w:r>
      <w:proofErr w:type="gramStart"/>
      <w:r w:rsidRPr="00C36155">
        <w:t>take into account</w:t>
      </w:r>
      <w:proofErr w:type="gramEnd"/>
      <w:r w:rsidRPr="00C36155">
        <w:t xml:space="preserve"> suggestions for adaptive management and lessons learned that result from the reflections workshop and which are reported in the biannual Project Progress Reports. The AWPB will be given a no-objection from the </w:t>
      </w:r>
      <w:proofErr w:type="gramStart"/>
      <w:r w:rsidRPr="00C36155">
        <w:t>WWF GEF Agency, and</w:t>
      </w:r>
      <w:proofErr w:type="gramEnd"/>
      <w:r w:rsidRPr="00C36155">
        <w:t xml:space="preserve"> endorsed by the Project Steering Committee prior to start of the next project year. Tracking against the AWPB targets will be reported on bi-annually, and the end of year tracking will contribute to the project’s implementation progress rating. </w:t>
      </w:r>
    </w:p>
    <w:p w14:paraId="6E581B03" w14:textId="77777777" w:rsidR="00BF593A" w:rsidRPr="00BF14EB" w:rsidRDefault="00BF593A" w:rsidP="00BF593A">
      <w:pPr>
        <w:spacing w:after="0" w:line="240" w:lineRule="auto"/>
      </w:pPr>
    </w:p>
    <w:p w14:paraId="42684626" w14:textId="12DFAFFB" w:rsidR="00BF593A" w:rsidRPr="00BF14EB" w:rsidRDefault="00BF593A" w:rsidP="00BF593A">
      <w:pPr>
        <w:spacing w:after="0" w:line="240" w:lineRule="auto"/>
        <w:rPr>
          <w:b/>
        </w:rPr>
      </w:pPr>
      <w:r w:rsidRPr="00BF14EB">
        <w:rPr>
          <w:b/>
        </w:rPr>
        <w:t>Quarterly Field Reports</w:t>
      </w:r>
      <w:r w:rsidR="00C36155">
        <w:rPr>
          <w:b/>
        </w:rPr>
        <w:t xml:space="preserve"> [</w:t>
      </w:r>
      <w:r w:rsidR="00C36155" w:rsidRPr="00C36155">
        <w:rPr>
          <w:b/>
          <w:highlight w:val="yellow"/>
        </w:rPr>
        <w:t>if relevant</w:t>
      </w:r>
      <w:r w:rsidR="00C36155">
        <w:rPr>
          <w:b/>
        </w:rPr>
        <w:t>]</w:t>
      </w:r>
    </w:p>
    <w:p w14:paraId="3557F23A" w14:textId="0FAD7F42" w:rsidR="00BF593A" w:rsidRPr="00BF14EB" w:rsidRDefault="00BF593A" w:rsidP="00BF593A">
      <w:pPr>
        <w:spacing w:after="0" w:line="240" w:lineRule="auto"/>
      </w:pPr>
      <w:r w:rsidRPr="00BF14EB">
        <w:lastRenderedPageBreak/>
        <w:t xml:space="preserve">The Project Management Unit will receive quarterly field reports from </w:t>
      </w:r>
      <w:r w:rsidR="00822F8D">
        <w:t>subgrantees/consultants</w:t>
      </w:r>
      <w:r w:rsidRPr="00BF14EB">
        <w:t xml:space="preserve">, using a Project Progress Report template. These reports will track progress on project activities, challenges encountered, expenditures, lessons learned, and adaptive management applied. </w:t>
      </w:r>
    </w:p>
    <w:p w14:paraId="09F46D6C" w14:textId="77777777" w:rsidR="00BF593A" w:rsidRPr="00BF14EB" w:rsidRDefault="00BF593A" w:rsidP="00BF593A">
      <w:pPr>
        <w:spacing w:after="0" w:line="240" w:lineRule="auto"/>
      </w:pPr>
    </w:p>
    <w:p w14:paraId="01166D41" w14:textId="77777777" w:rsidR="00BF593A" w:rsidRPr="00BF14EB" w:rsidRDefault="00BF593A" w:rsidP="00BF593A">
      <w:pPr>
        <w:spacing w:after="0" w:line="240" w:lineRule="auto"/>
        <w:rPr>
          <w:b/>
        </w:rPr>
      </w:pPr>
      <w:r w:rsidRPr="00BF14EB">
        <w:rPr>
          <w:b/>
        </w:rPr>
        <w:t>Quarterly Financial Reports</w:t>
      </w:r>
    </w:p>
    <w:p w14:paraId="5469FFBF" w14:textId="06DADBF3" w:rsidR="00BF593A" w:rsidRPr="00BF14EB" w:rsidRDefault="00BF593A" w:rsidP="00BF593A">
      <w:pPr>
        <w:spacing w:line="240" w:lineRule="auto"/>
      </w:pPr>
      <w:r w:rsidRPr="00BF14EB">
        <w:t xml:space="preserve">The PMU Financial Manager will submit a financial progress report every 3 months using the WWF Network Standard financial reporting template. These reports will be delivered to the WWF-GEF Agency and the WWF-US Program </w:t>
      </w:r>
      <w:r w:rsidR="00BF0843" w:rsidRPr="00BF14EB">
        <w:t>Operations team and</w:t>
      </w:r>
      <w:r w:rsidRPr="00BF14EB">
        <w:t xml:space="preserve"> will include information on expenditures to date along with expected future expenditures and requests for disbursement to cover expected expenditures from the next quarter.  </w:t>
      </w:r>
    </w:p>
    <w:p w14:paraId="018537E1" w14:textId="77777777" w:rsidR="00BF593A" w:rsidRPr="00BF14EB" w:rsidRDefault="00BF593A" w:rsidP="00BF593A">
      <w:pPr>
        <w:spacing w:after="0" w:line="240" w:lineRule="auto"/>
        <w:rPr>
          <w:b/>
        </w:rPr>
      </w:pPr>
      <w:r w:rsidRPr="00BF14EB">
        <w:rPr>
          <w:b/>
        </w:rPr>
        <w:t>Semi-annual Project Progress Reports (PPRs)</w:t>
      </w:r>
    </w:p>
    <w:p w14:paraId="6EBD6A7B" w14:textId="77777777" w:rsidR="00BF593A" w:rsidRPr="00BF14EB" w:rsidRDefault="00BF593A" w:rsidP="00BF593A">
      <w:pPr>
        <w:spacing w:line="240" w:lineRule="auto"/>
      </w:pPr>
      <w:r w:rsidRPr="00BF14EB">
        <w:t>The PMU will deliver a Project Progress Report to the WWF-GEF Agency every 6 months, using the WWF-GEF Project Progress Report (PPR) template. The report will include:</w:t>
      </w:r>
    </w:p>
    <w:p w14:paraId="73AAF647" w14:textId="4921A096" w:rsidR="00BF593A" w:rsidRPr="00BF14EB" w:rsidRDefault="00BF593A" w:rsidP="00BF593A">
      <w:pPr>
        <w:numPr>
          <w:ilvl w:val="0"/>
          <w:numId w:val="1"/>
        </w:numPr>
        <w:spacing w:after="0" w:line="240" w:lineRule="auto"/>
        <w:ind w:hanging="360"/>
        <w:contextualSpacing/>
      </w:pPr>
      <w:r w:rsidRPr="00BF14EB">
        <w:t>Self-rating of project Development Objective (DO) and Implementation Progress (IP), and Risk using WWF-GEF rating criteria</w:t>
      </w:r>
      <w:r w:rsidR="00BF0843">
        <w:t>. Action plans for sub-optimal ratings. (Annual report only)</w:t>
      </w:r>
    </w:p>
    <w:p w14:paraId="00B70871" w14:textId="70843E1A" w:rsidR="00BF593A" w:rsidRPr="00BF14EB" w:rsidRDefault="00A6191F" w:rsidP="00BF593A">
      <w:pPr>
        <w:numPr>
          <w:ilvl w:val="0"/>
          <w:numId w:val="1"/>
        </w:numPr>
        <w:spacing w:after="0" w:line="240" w:lineRule="auto"/>
        <w:ind w:hanging="360"/>
        <w:contextualSpacing/>
      </w:pPr>
      <w:r>
        <w:t>Summary of project outcomes and impacts</w:t>
      </w:r>
      <w:r w:rsidR="00BF593A" w:rsidRPr="00BF14EB">
        <w:t xml:space="preserve"> based on project monitoring and evaluation plan (including results framework in Appendix 5 plus tracking of output-level indicators)</w:t>
      </w:r>
      <w:r w:rsidR="00BF0843">
        <w:t xml:space="preserve"> (Annual report)</w:t>
      </w:r>
    </w:p>
    <w:p w14:paraId="08CB9A44" w14:textId="77777777" w:rsidR="00BF593A" w:rsidRPr="00BF14EB" w:rsidRDefault="00BF593A" w:rsidP="00BF593A">
      <w:pPr>
        <w:numPr>
          <w:ilvl w:val="0"/>
          <w:numId w:val="1"/>
        </w:numPr>
        <w:spacing w:after="0" w:line="240" w:lineRule="auto"/>
        <w:ind w:hanging="360"/>
        <w:contextualSpacing/>
      </w:pPr>
      <w:r w:rsidRPr="00BF14EB">
        <w:t>Challenges and strengths of the project</w:t>
      </w:r>
    </w:p>
    <w:p w14:paraId="05E9D390" w14:textId="2F21C27D" w:rsidR="00BF593A" w:rsidRPr="00BF14EB" w:rsidRDefault="00C36155" w:rsidP="00BF593A">
      <w:pPr>
        <w:numPr>
          <w:ilvl w:val="0"/>
          <w:numId w:val="1"/>
        </w:numPr>
        <w:spacing w:after="0" w:line="240" w:lineRule="auto"/>
        <w:ind w:hanging="360"/>
        <w:contextualSpacing/>
      </w:pPr>
      <w:r>
        <w:t>P</w:t>
      </w:r>
      <w:r w:rsidR="00BF593A" w:rsidRPr="00BF14EB">
        <w:t xml:space="preserve">rogress of project based </w:t>
      </w:r>
      <w:r w:rsidR="00BF0843">
        <w:t xml:space="preserve">on </w:t>
      </w:r>
      <w:r w:rsidR="00BF593A" w:rsidRPr="00BF14EB">
        <w:t>approved annual work plan</w:t>
      </w:r>
    </w:p>
    <w:p w14:paraId="7665E468" w14:textId="1B6021E1" w:rsidR="00BF593A" w:rsidRPr="00BF14EB" w:rsidRDefault="00BF593A" w:rsidP="00BF593A">
      <w:pPr>
        <w:numPr>
          <w:ilvl w:val="0"/>
          <w:numId w:val="1"/>
        </w:numPr>
        <w:spacing w:after="0" w:line="240" w:lineRule="auto"/>
        <w:ind w:hanging="360"/>
        <w:contextualSpacing/>
      </w:pPr>
      <w:r w:rsidRPr="00BF14EB">
        <w:t>Exchange of lessons learned and opportunities for adaptive management</w:t>
      </w:r>
    </w:p>
    <w:p w14:paraId="5FE2D05B" w14:textId="77777777" w:rsidR="00A6191F" w:rsidRDefault="00BF593A" w:rsidP="00A6191F">
      <w:pPr>
        <w:numPr>
          <w:ilvl w:val="0"/>
          <w:numId w:val="1"/>
        </w:numPr>
        <w:spacing w:after="0" w:line="240" w:lineRule="auto"/>
        <w:ind w:hanging="360"/>
        <w:contextualSpacing/>
      </w:pPr>
      <w:r w:rsidRPr="00BF14EB">
        <w:t>Financial progress</w:t>
      </w:r>
    </w:p>
    <w:p w14:paraId="6283311A" w14:textId="77777777" w:rsidR="00003C6E" w:rsidRDefault="00003C6E" w:rsidP="00003C6E">
      <w:pPr>
        <w:pStyle w:val="NoSpacing"/>
      </w:pPr>
    </w:p>
    <w:p w14:paraId="267C182B" w14:textId="77777777" w:rsidR="004B4980" w:rsidRPr="00696193" w:rsidRDefault="004B4980" w:rsidP="004B4980">
      <w:pPr>
        <w:pStyle w:val="NoSpacing"/>
        <w:rPr>
          <w:b/>
        </w:rPr>
      </w:pPr>
      <w:r w:rsidRPr="00696193">
        <w:rPr>
          <w:b/>
        </w:rPr>
        <w:t>Project Close Report</w:t>
      </w:r>
    </w:p>
    <w:p w14:paraId="71A01CC1" w14:textId="5DFFA083" w:rsidR="004B4980" w:rsidRDefault="004B4980" w:rsidP="00003C6E">
      <w:pPr>
        <w:pStyle w:val="NoSpacing"/>
      </w:pPr>
      <w:r w:rsidRPr="00696193">
        <w:t>The Executing Agency and PMU will develop a project closeout report, using the WWF</w:t>
      </w:r>
      <w:r w:rsidR="00C36155">
        <w:t xml:space="preserve"> </w:t>
      </w:r>
      <w:r w:rsidRPr="00696193">
        <w:t xml:space="preserve">GEF </w:t>
      </w:r>
      <w:r w:rsidR="00C36155">
        <w:t xml:space="preserve">Agency </w:t>
      </w:r>
      <w:r w:rsidRPr="00696193">
        <w:t>template. The report will outline the same areas as the PPRs, but will be cumulative for the whole project period, and will also include information on project equipment handover, an assessment of WWF GEF performance, an exit and sustainability plan, and will focus on key lessons from the project. This report is due within one month of project close</w:t>
      </w:r>
      <w:r>
        <w:t>.</w:t>
      </w:r>
    </w:p>
    <w:p w14:paraId="32BDBB46" w14:textId="77777777" w:rsidR="00003C6E" w:rsidRPr="00BF14EB" w:rsidRDefault="00003C6E" w:rsidP="00003C6E">
      <w:pPr>
        <w:pStyle w:val="NoSpacing"/>
      </w:pPr>
    </w:p>
    <w:p w14:paraId="7BE280A3" w14:textId="5715133A" w:rsidR="00BF593A" w:rsidRPr="00BF14EB" w:rsidRDefault="00BF593A" w:rsidP="00BF593A">
      <w:pPr>
        <w:pStyle w:val="NoSpacing"/>
        <w:rPr>
          <w:b/>
        </w:rPr>
      </w:pPr>
      <w:r w:rsidRPr="00BF14EB">
        <w:rPr>
          <w:b/>
        </w:rPr>
        <w:t>Annual Adaptive Management Review</w:t>
      </w:r>
    </w:p>
    <w:p w14:paraId="3B6DFA88" w14:textId="04F9E16F" w:rsidR="00BF593A" w:rsidRPr="00BF14EB" w:rsidRDefault="00BF0843" w:rsidP="00BF593A">
      <w:pPr>
        <w:pStyle w:val="NoSpacing"/>
      </w:pPr>
      <w:r>
        <w:t xml:space="preserve">At the end of every year of the project, the PMU and other relevant partners will convene in an exercise that is intended to improve the strategic direction of the project.  At each exercise, a review of the M&amp;E data, project progress and challenges will </w:t>
      </w:r>
      <w:r w:rsidR="00DF2395">
        <w:t>occur,</w:t>
      </w:r>
      <w:r>
        <w:t xml:space="preserve"> and the project theory of change will be assessed to decide </w:t>
      </w:r>
      <w:proofErr w:type="gramStart"/>
      <w:r>
        <w:t>whether or not</w:t>
      </w:r>
      <w:proofErr w:type="gramEnd"/>
      <w:r>
        <w:t xml:space="preserve"> any assumptions or strategies need modification. </w:t>
      </w:r>
      <w:r w:rsidR="00BF593A" w:rsidRPr="00BF14EB">
        <w:t xml:space="preserve">This will provide opportunities for adaptive management </w:t>
      </w:r>
      <w:r w:rsidR="00DF2395">
        <w:t>that will lead to ch</w:t>
      </w:r>
      <w:r w:rsidR="00D12CEF">
        <w:t>anges in the project design, management or operation.  The changes will be largely reflected and incorporated into the new Annual Work Plans.</w:t>
      </w:r>
      <w:r w:rsidR="00DF2395">
        <w:t xml:space="preserve"> </w:t>
      </w:r>
      <w:r w:rsidR="00D12CEF">
        <w:t xml:space="preserve">All </w:t>
      </w:r>
      <w:r w:rsidR="00DF2395">
        <w:t>modifications will</w:t>
      </w:r>
      <w:r w:rsidR="00D12CEF">
        <w:t xml:space="preserve"> be reviewed for no objection </w:t>
      </w:r>
      <w:r w:rsidR="00DF2395">
        <w:t xml:space="preserve">by the Project Steering Committee and the WWF GEF Agency. </w:t>
      </w:r>
    </w:p>
    <w:p w14:paraId="0530FD11" w14:textId="3889FD03" w:rsidR="00BF593A" w:rsidRDefault="00BF593A" w:rsidP="00BF593A">
      <w:pPr>
        <w:pStyle w:val="NoSpacing"/>
        <w:rPr>
          <w:b/>
        </w:rPr>
      </w:pPr>
    </w:p>
    <w:p w14:paraId="20BC2CB7" w14:textId="197140EA" w:rsidR="00003C6E" w:rsidRPr="00003C6E" w:rsidRDefault="00003C6E" w:rsidP="00BF593A">
      <w:pPr>
        <w:pStyle w:val="NoSpacing"/>
        <w:rPr>
          <w:u w:val="single"/>
        </w:rPr>
      </w:pPr>
      <w:r w:rsidRPr="00003C6E">
        <w:rPr>
          <w:u w:val="single"/>
        </w:rPr>
        <w:t>The WWF GEF Agency will contract the consultants for the midterm and terminal evaluation and report. The PMU is responsible for logistical support to the consultant, input to the evaluations, as well as a formal response to the final report:</w:t>
      </w:r>
    </w:p>
    <w:p w14:paraId="28D40E60" w14:textId="77777777" w:rsidR="00003C6E" w:rsidRPr="00BF14EB" w:rsidRDefault="00003C6E" w:rsidP="00BF593A">
      <w:pPr>
        <w:pStyle w:val="NoSpacing"/>
        <w:rPr>
          <w:b/>
        </w:rPr>
      </w:pPr>
    </w:p>
    <w:p w14:paraId="4369177E" w14:textId="67A82750" w:rsidR="00BF593A" w:rsidRPr="00BF14EB" w:rsidRDefault="00BF593A" w:rsidP="00BF593A">
      <w:pPr>
        <w:pStyle w:val="NoSpacing"/>
        <w:rPr>
          <w:b/>
        </w:rPr>
      </w:pPr>
      <w:r w:rsidRPr="00BF14EB">
        <w:rPr>
          <w:b/>
        </w:rPr>
        <w:t xml:space="preserve">Midterm Project Evaluation </w:t>
      </w:r>
      <w:r w:rsidR="00A44661">
        <w:rPr>
          <w:b/>
        </w:rPr>
        <w:t xml:space="preserve">and </w:t>
      </w:r>
      <w:r w:rsidRPr="00BF14EB">
        <w:rPr>
          <w:b/>
        </w:rPr>
        <w:t>Report</w:t>
      </w:r>
    </w:p>
    <w:p w14:paraId="31B71DF5" w14:textId="4CF4C1E0" w:rsidR="00BF593A" w:rsidRPr="00BF14EB" w:rsidRDefault="00BF593A" w:rsidP="00BF593A">
      <w:pPr>
        <w:spacing w:after="0" w:line="240" w:lineRule="auto"/>
      </w:pPr>
      <w:r w:rsidRPr="00BF14EB">
        <w:lastRenderedPageBreak/>
        <w:t xml:space="preserve">An independent Midterm Project Evaluation will take place around the two-year mark of project implementation (i.e. </w:t>
      </w:r>
      <w:r w:rsidR="00C1072E" w:rsidRPr="00BF14EB">
        <w:t>midterm</w:t>
      </w:r>
      <w:r w:rsidRPr="00BF14EB">
        <w:t xml:space="preserve">), providing an external evaluation of the project effectiveness and efficiency to date. </w:t>
      </w:r>
      <w:r w:rsidR="00DF2395">
        <w:t xml:space="preserve">This will be organized by the WWF GEF Agency in coordination with the PMU. </w:t>
      </w:r>
      <w:r w:rsidRPr="00BF14EB">
        <w:t>It will provide recommendations to the project team on adaptive management that can be made to improve effectiveness and efficiency in the second half of the project term. The WWF-GEF Agency in collaboration with the PMU and the Program Steering Committee will provide a formal management answer to the findings and recommendations of the midterm evaluation.</w:t>
      </w:r>
    </w:p>
    <w:p w14:paraId="312E0450" w14:textId="77777777" w:rsidR="00696193" w:rsidRDefault="00696193" w:rsidP="00696193">
      <w:pPr>
        <w:pStyle w:val="NoSpacing"/>
      </w:pPr>
    </w:p>
    <w:p w14:paraId="315EC06E" w14:textId="0F4CAF62" w:rsidR="00BF593A" w:rsidRPr="00BF14EB" w:rsidRDefault="00BF593A" w:rsidP="00BF593A">
      <w:pPr>
        <w:pStyle w:val="NoSpacing"/>
        <w:rPr>
          <w:b/>
        </w:rPr>
      </w:pPr>
      <w:r w:rsidRPr="00BF14EB">
        <w:rPr>
          <w:b/>
        </w:rPr>
        <w:t xml:space="preserve">Final Project Evaluation </w:t>
      </w:r>
      <w:r w:rsidR="00A44661">
        <w:rPr>
          <w:b/>
        </w:rPr>
        <w:t xml:space="preserve">and </w:t>
      </w:r>
      <w:r w:rsidRPr="00BF14EB">
        <w:rPr>
          <w:b/>
        </w:rPr>
        <w:t>Report</w:t>
      </w:r>
    </w:p>
    <w:p w14:paraId="1B09088A" w14:textId="5160BD81" w:rsidR="00BF593A" w:rsidRPr="00BF14EB" w:rsidRDefault="00BF593A" w:rsidP="00BF593A">
      <w:pPr>
        <w:spacing w:after="0" w:line="240" w:lineRule="auto"/>
      </w:pPr>
      <w:r w:rsidRPr="00BF14EB">
        <w:t>An independent Terminal Evaluation will take place within six months after project completion providing an external evaluation of the overall project effectiveness and efficiency.</w:t>
      </w:r>
      <w:r w:rsidR="00DF2395">
        <w:t xml:space="preserve"> This will be organized by the WWF GEF Agency and coordinated with the PMU. </w:t>
      </w:r>
      <w:r w:rsidRPr="00BF14EB">
        <w:t xml:space="preserve"> It will provide recommendations for GEF and its agencies on future </w:t>
      </w:r>
      <w:r w:rsidR="00A44661">
        <w:t>related</w:t>
      </w:r>
      <w:r w:rsidRPr="00BF14EB">
        <w:t xml:space="preserve"> projects and recommendations to the project team on achievement of the project impacts after completion of the project. The WWF-GEF Agency in collaboration with the PMU and the Program Steering Committee will provide a formal management answer to the findings and recommendations of the terminal evaluation.</w:t>
      </w:r>
    </w:p>
    <w:p w14:paraId="44996209" w14:textId="77777777" w:rsidR="00BF593A" w:rsidRPr="00BF14EB" w:rsidRDefault="00BF593A" w:rsidP="00BF593A">
      <w:pPr>
        <w:spacing w:after="0" w:line="240" w:lineRule="auto"/>
      </w:pPr>
    </w:p>
    <w:p w14:paraId="4B52CD2F" w14:textId="3BB5FF27" w:rsidR="00BF593A" w:rsidRPr="00BF14EB" w:rsidRDefault="00BF593A" w:rsidP="00BF593A">
      <w:pPr>
        <w:spacing w:after="0" w:line="240" w:lineRule="auto"/>
      </w:pPr>
      <w:r w:rsidRPr="00BF14EB">
        <w:t xml:space="preserve">The Terms of References for the midterm and terminal evaluations will be drafted by the WWF-GEF Agency in accordance with GEF requirements. The funding for the evaluations will come from the project budget. </w:t>
      </w:r>
    </w:p>
    <w:p w14:paraId="42965CB7" w14:textId="161CEBB5" w:rsidR="00BF593A" w:rsidRPr="00003C6E" w:rsidRDefault="00BF593A" w:rsidP="00C7575B">
      <w:pPr>
        <w:pStyle w:val="11"/>
        <w:rPr>
          <w:sz w:val="22"/>
        </w:rPr>
      </w:pPr>
    </w:p>
    <w:p w14:paraId="6E8B4615" w14:textId="72FE090F" w:rsidR="00822F8D" w:rsidRPr="00003C6E" w:rsidRDefault="00822F8D" w:rsidP="00C36155">
      <w:pPr>
        <w:rPr>
          <w:rFonts w:eastAsia="Times New Roman" w:cs="Times New Roman"/>
          <w:u w:val="single"/>
        </w:rPr>
      </w:pPr>
      <w:r w:rsidRPr="00003C6E">
        <w:rPr>
          <w:rFonts w:eastAsia="Times New Roman" w:cs="Times New Roman"/>
          <w:u w:val="single"/>
        </w:rPr>
        <w:t>The WWF GEF Agency is responsible for the following project reporting elements:</w:t>
      </w:r>
    </w:p>
    <w:p w14:paraId="6FA4C5EC" w14:textId="77777777" w:rsidR="00822F8D" w:rsidRPr="00BF14EB" w:rsidRDefault="00822F8D" w:rsidP="00822F8D">
      <w:pPr>
        <w:spacing w:after="0" w:line="240" w:lineRule="auto"/>
        <w:rPr>
          <w:b/>
        </w:rPr>
      </w:pPr>
      <w:r w:rsidRPr="00BF14EB">
        <w:rPr>
          <w:b/>
        </w:rPr>
        <w:t>Annual WWF-GEF Project Implementation Report (PIR)</w:t>
      </w:r>
    </w:p>
    <w:p w14:paraId="1F49F083" w14:textId="77777777" w:rsidR="00822F8D" w:rsidRPr="00BF14EB" w:rsidRDefault="00822F8D" w:rsidP="00822F8D">
      <w:pPr>
        <w:spacing w:line="240" w:lineRule="auto"/>
      </w:pPr>
      <w:r w:rsidRPr="00BF14EB">
        <w:t>In December</w:t>
      </w:r>
      <w:r w:rsidRPr="00BF14EB">
        <w:rPr>
          <w:rStyle w:val="FootnoteReference"/>
        </w:rPr>
        <w:footnoteReference w:id="1"/>
      </w:r>
      <w:r w:rsidRPr="00BF14EB">
        <w:t xml:space="preserve"> of each year, the WWF-GEF Agency will deliver to the GEF Secretariat an Annual Project Implementation Report (PIR), building off the semi-annual PPRs delivered by the PMU. The PIR includes general project information, implementation summary, results framework (tracking of high level M&amp;E plan), ratings of GEF rating criteria, and financial status. </w:t>
      </w:r>
    </w:p>
    <w:p w14:paraId="729C9C24" w14:textId="77777777" w:rsidR="00822F8D" w:rsidRPr="00BF14EB" w:rsidRDefault="00822F8D" w:rsidP="00822F8D">
      <w:pPr>
        <w:spacing w:after="0" w:line="240" w:lineRule="auto"/>
        <w:rPr>
          <w:b/>
        </w:rPr>
      </w:pPr>
      <w:r w:rsidRPr="00BF14EB">
        <w:rPr>
          <w:b/>
        </w:rPr>
        <w:t>Annual WWF-GEF Monitoring Review (AMR)</w:t>
      </w:r>
    </w:p>
    <w:p w14:paraId="7D1F0703" w14:textId="6A3849A5" w:rsidR="00822F8D" w:rsidRPr="00BF14EB" w:rsidRDefault="00822F8D" w:rsidP="00822F8D">
      <w:pPr>
        <w:spacing w:line="240" w:lineRule="auto"/>
      </w:pPr>
      <w:r w:rsidRPr="00BF14EB">
        <w:t xml:space="preserve">In </w:t>
      </w:r>
      <w:r w:rsidR="00C36155">
        <w:t>August</w:t>
      </w:r>
      <w:r w:rsidR="00003C6E">
        <w:rPr>
          <w:rStyle w:val="FootnoteReference"/>
        </w:rPr>
        <w:footnoteReference w:id="2"/>
      </w:r>
      <w:r w:rsidRPr="00BF14EB">
        <w:t xml:space="preserve"> of each year, the WWF-GEF Agency will send to the GEF Secretariat a Monitoring Review: an Excel document with ratings for every project in the WWF-GEF Agency’s portfolio, including this project. The ratings will be determined by the WWF-GEF Agency</w:t>
      </w:r>
      <w:r>
        <w:t xml:space="preserve"> in conjunction with the PMU.</w:t>
      </w:r>
    </w:p>
    <w:p w14:paraId="2A5CFAB2" w14:textId="77777777" w:rsidR="00822F8D" w:rsidRPr="00BF14EB" w:rsidRDefault="00822F8D" w:rsidP="00822F8D">
      <w:pPr>
        <w:pStyle w:val="NoSpacing"/>
        <w:rPr>
          <w:b/>
        </w:rPr>
      </w:pPr>
      <w:r w:rsidRPr="00BF14EB">
        <w:rPr>
          <w:b/>
        </w:rPr>
        <w:t>Supervision Mission Reports</w:t>
      </w:r>
    </w:p>
    <w:p w14:paraId="4C0A5B33" w14:textId="77777777" w:rsidR="00822F8D" w:rsidRPr="00BF14EB" w:rsidRDefault="00822F8D" w:rsidP="00822F8D">
      <w:pPr>
        <w:spacing w:line="240" w:lineRule="auto"/>
      </w:pPr>
      <w:r w:rsidRPr="00BF14EB">
        <w:t xml:space="preserve">Annually the WWF-GEF Agency will conduct a support mission to discuss project progress with the PMU, key stakeholders and executing partners. The PMU will assist with organizing logistics for the support mission in communication and coordination with the WWF-GEF Agency, and the mission will serve to assist the WWF-GEF Agency in supervising project implementation and monitoring WWF Safeguard Policies in the project regions. The WWF-GEF Agency will develop a report for each annual mission, to which the PMU will respond and adapt its action plan. </w:t>
      </w:r>
    </w:p>
    <w:p w14:paraId="2D1D294D" w14:textId="77777777" w:rsidR="00822F8D" w:rsidRPr="00BF14EB" w:rsidRDefault="00822F8D" w:rsidP="00C7575B">
      <w:pPr>
        <w:pStyle w:val="11"/>
      </w:pPr>
    </w:p>
    <w:p w14:paraId="1D6FADC0" w14:textId="29758DEE" w:rsidR="00BF593A" w:rsidRPr="00BF14EB" w:rsidRDefault="00BF593A" w:rsidP="00C7575B">
      <w:pPr>
        <w:pStyle w:val="11"/>
      </w:pPr>
      <w:bookmarkStart w:id="2" w:name="_Toc462315132"/>
      <w:r w:rsidRPr="00BF14EB">
        <w:t>Calendar of Monitoring Activities and Reporting Requirements</w:t>
      </w:r>
      <w:bookmarkEnd w:id="2"/>
    </w:p>
    <w:p w14:paraId="60696D59" w14:textId="327F9AF0" w:rsidR="00BF593A" w:rsidRPr="00BF14EB" w:rsidRDefault="00BF593A" w:rsidP="00BF593A">
      <w:pPr>
        <w:spacing w:after="0"/>
      </w:pPr>
      <w:r w:rsidRPr="00BF14EB">
        <w:t xml:space="preserve">The timing of monitoring activities and reporting requirements is outlined in </w:t>
      </w:r>
      <w:r w:rsidRPr="00003C6E">
        <w:rPr>
          <w:highlight w:val="yellow"/>
        </w:rPr>
        <w:t xml:space="preserve">Table </w:t>
      </w:r>
      <w:r w:rsidR="00DF2395" w:rsidRPr="00003C6E">
        <w:rPr>
          <w:highlight w:val="yellow"/>
        </w:rPr>
        <w:t>1</w:t>
      </w:r>
      <w:r w:rsidRPr="00BF14EB">
        <w:t>.</w:t>
      </w:r>
    </w:p>
    <w:p w14:paraId="4794DDED" w14:textId="77777777" w:rsidR="00BF593A" w:rsidRPr="00BF14EB" w:rsidRDefault="00BF593A" w:rsidP="00BF593A">
      <w:pPr>
        <w:spacing w:after="0"/>
      </w:pPr>
    </w:p>
    <w:p w14:paraId="3512AAD5" w14:textId="7A37651C" w:rsidR="00BF593A" w:rsidRPr="00BF14EB" w:rsidRDefault="00BF593A" w:rsidP="00BF593A">
      <w:pPr>
        <w:pStyle w:val="Caption"/>
        <w:keepNext/>
        <w:rPr>
          <w:color w:val="auto"/>
        </w:rPr>
      </w:pPr>
      <w:bookmarkStart w:id="3" w:name="_Toc462210806"/>
      <w:r w:rsidRPr="00BF14EB">
        <w:rPr>
          <w:color w:val="auto"/>
        </w:rPr>
        <w:t xml:space="preserve">Table </w:t>
      </w:r>
      <w:r w:rsidR="00DF2395">
        <w:rPr>
          <w:color w:val="auto"/>
        </w:rPr>
        <w:t>1</w:t>
      </w:r>
      <w:r w:rsidRPr="00BF14EB">
        <w:rPr>
          <w:color w:val="auto"/>
        </w:rPr>
        <w:t xml:space="preserve"> Calendar of monitoring activities and reporting requirements</w:t>
      </w:r>
      <w:bookmarkEnd w:id="3"/>
    </w:p>
    <w:tbl>
      <w:tblPr>
        <w:tblStyle w:val="5"/>
        <w:tblW w:w="9980" w:type="dxa"/>
        <w:tblBorders>
          <w:top w:val="nil"/>
          <w:left w:val="nil"/>
          <w:bottom w:val="nil"/>
          <w:right w:val="nil"/>
          <w:insideH w:val="nil"/>
          <w:insideV w:val="nil"/>
        </w:tblBorders>
        <w:tblLayout w:type="fixed"/>
        <w:tblLook w:val="0600" w:firstRow="0" w:lastRow="0" w:firstColumn="0" w:lastColumn="0" w:noHBand="1" w:noVBand="1"/>
      </w:tblPr>
      <w:tblGrid>
        <w:gridCol w:w="1070"/>
        <w:gridCol w:w="803"/>
        <w:gridCol w:w="713"/>
        <w:gridCol w:w="749"/>
        <w:gridCol w:w="683"/>
        <w:gridCol w:w="620"/>
        <w:gridCol w:w="784"/>
        <w:gridCol w:w="653"/>
        <w:gridCol w:w="737"/>
        <w:gridCol w:w="724"/>
        <w:gridCol w:w="724"/>
        <w:gridCol w:w="640"/>
        <w:gridCol w:w="1080"/>
      </w:tblGrid>
      <w:tr w:rsidR="00C36155" w:rsidRPr="00BF14EB" w14:paraId="10F722DE" w14:textId="77777777" w:rsidTr="00095F84">
        <w:trPr>
          <w:trHeight w:val="187"/>
        </w:trPr>
        <w:tc>
          <w:tcPr>
            <w:tcW w:w="1070"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3FB5D089" w14:textId="77777777" w:rsidR="00C36155" w:rsidRPr="00095F84" w:rsidRDefault="00BF593A" w:rsidP="00C36155">
            <w:pPr>
              <w:widowControl w:val="0"/>
              <w:spacing w:after="0"/>
              <w:rPr>
                <w:rFonts w:asciiTheme="minorHAnsi" w:hAnsiTheme="minorHAnsi"/>
                <w:b/>
                <w:i/>
                <w:color w:val="auto"/>
                <w:sz w:val="20"/>
                <w:szCs w:val="20"/>
                <w:shd w:val="clear" w:color="auto" w:fill="D9D9D9"/>
              </w:rPr>
            </w:pPr>
            <w:r w:rsidRPr="00095F84">
              <w:rPr>
                <w:rFonts w:asciiTheme="minorHAnsi" w:hAnsiTheme="minorHAnsi"/>
                <w:b/>
                <w:i/>
                <w:color w:val="auto"/>
                <w:sz w:val="20"/>
                <w:szCs w:val="20"/>
                <w:shd w:val="clear" w:color="auto" w:fill="D9D9D9"/>
              </w:rPr>
              <w:t>Year/</w:t>
            </w:r>
          </w:p>
          <w:p w14:paraId="28309023" w14:textId="41A05A52" w:rsidR="00BF593A" w:rsidRPr="00095F84" w:rsidRDefault="00BF593A" w:rsidP="00C36155">
            <w:pPr>
              <w:widowControl w:val="0"/>
              <w:spacing w:after="0"/>
              <w:rPr>
                <w:rFonts w:asciiTheme="minorHAnsi" w:hAnsiTheme="minorHAnsi"/>
                <w:color w:val="auto"/>
              </w:rPr>
            </w:pPr>
            <w:r w:rsidRPr="00095F84">
              <w:rPr>
                <w:rFonts w:asciiTheme="minorHAnsi" w:hAnsiTheme="minorHAnsi"/>
                <w:b/>
                <w:i/>
                <w:color w:val="auto"/>
                <w:sz w:val="20"/>
                <w:szCs w:val="20"/>
                <w:shd w:val="clear" w:color="auto" w:fill="D9D9D9"/>
              </w:rPr>
              <w:t>Month</w:t>
            </w:r>
          </w:p>
        </w:tc>
        <w:tc>
          <w:tcPr>
            <w:tcW w:w="803" w:type="dxa"/>
            <w:tcBorders>
              <w:top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6A1651A0" w14:textId="77777777" w:rsidR="00BF593A" w:rsidRPr="00095F84" w:rsidRDefault="00BF593A" w:rsidP="00C36155">
            <w:pPr>
              <w:widowControl w:val="0"/>
              <w:spacing w:after="0"/>
              <w:rPr>
                <w:rFonts w:asciiTheme="minorHAnsi" w:hAnsiTheme="minorHAnsi"/>
                <w:color w:val="auto"/>
              </w:rPr>
            </w:pPr>
            <w:r w:rsidRPr="00095F84">
              <w:rPr>
                <w:rFonts w:asciiTheme="minorHAnsi" w:hAnsiTheme="minorHAnsi"/>
                <w:b/>
                <w:i/>
                <w:color w:val="auto"/>
                <w:sz w:val="20"/>
                <w:szCs w:val="20"/>
                <w:shd w:val="clear" w:color="auto" w:fill="D9D9D9"/>
              </w:rPr>
              <w:t>1</w:t>
            </w:r>
          </w:p>
        </w:tc>
        <w:tc>
          <w:tcPr>
            <w:tcW w:w="713" w:type="dxa"/>
            <w:tcBorders>
              <w:top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754648D4" w14:textId="77777777" w:rsidR="00BF593A" w:rsidRPr="00095F84" w:rsidRDefault="00BF593A" w:rsidP="00C36155">
            <w:pPr>
              <w:widowControl w:val="0"/>
              <w:spacing w:after="0"/>
              <w:rPr>
                <w:rFonts w:asciiTheme="minorHAnsi" w:hAnsiTheme="minorHAnsi"/>
                <w:color w:val="auto"/>
              </w:rPr>
            </w:pPr>
            <w:r w:rsidRPr="00095F84">
              <w:rPr>
                <w:rFonts w:asciiTheme="minorHAnsi" w:hAnsiTheme="minorHAnsi"/>
                <w:b/>
                <w:i/>
                <w:color w:val="auto"/>
                <w:sz w:val="20"/>
                <w:szCs w:val="20"/>
                <w:shd w:val="clear" w:color="auto" w:fill="D9D9D9"/>
              </w:rPr>
              <w:t>2</w:t>
            </w:r>
          </w:p>
        </w:tc>
        <w:tc>
          <w:tcPr>
            <w:tcW w:w="749" w:type="dxa"/>
            <w:tcBorders>
              <w:top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2464E7D3" w14:textId="77777777" w:rsidR="00BF593A" w:rsidRPr="00095F84" w:rsidRDefault="00BF593A" w:rsidP="00C36155">
            <w:pPr>
              <w:widowControl w:val="0"/>
              <w:spacing w:after="0"/>
              <w:rPr>
                <w:rFonts w:asciiTheme="minorHAnsi" w:hAnsiTheme="minorHAnsi"/>
                <w:color w:val="auto"/>
              </w:rPr>
            </w:pPr>
            <w:r w:rsidRPr="00095F84">
              <w:rPr>
                <w:rFonts w:asciiTheme="minorHAnsi" w:hAnsiTheme="minorHAnsi"/>
                <w:b/>
                <w:i/>
                <w:color w:val="auto"/>
                <w:sz w:val="20"/>
                <w:szCs w:val="20"/>
                <w:shd w:val="clear" w:color="auto" w:fill="D9D9D9"/>
              </w:rPr>
              <w:t>3</w:t>
            </w:r>
          </w:p>
        </w:tc>
        <w:tc>
          <w:tcPr>
            <w:tcW w:w="683" w:type="dxa"/>
            <w:tcBorders>
              <w:top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4E1E5867" w14:textId="77777777" w:rsidR="00BF593A" w:rsidRPr="00095F84" w:rsidRDefault="00BF593A" w:rsidP="00C36155">
            <w:pPr>
              <w:widowControl w:val="0"/>
              <w:spacing w:after="0"/>
              <w:rPr>
                <w:rFonts w:asciiTheme="minorHAnsi" w:hAnsiTheme="minorHAnsi"/>
                <w:color w:val="auto"/>
              </w:rPr>
            </w:pPr>
            <w:r w:rsidRPr="00095F84">
              <w:rPr>
                <w:rFonts w:asciiTheme="minorHAnsi" w:hAnsiTheme="minorHAnsi"/>
                <w:b/>
                <w:i/>
                <w:color w:val="auto"/>
                <w:sz w:val="20"/>
                <w:szCs w:val="20"/>
                <w:shd w:val="clear" w:color="auto" w:fill="D9D9D9"/>
              </w:rPr>
              <w:t>4</w:t>
            </w:r>
          </w:p>
        </w:tc>
        <w:tc>
          <w:tcPr>
            <w:tcW w:w="620" w:type="dxa"/>
            <w:tcBorders>
              <w:top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7D323D95" w14:textId="77777777" w:rsidR="00BF593A" w:rsidRPr="00095F84" w:rsidRDefault="00BF593A" w:rsidP="00C36155">
            <w:pPr>
              <w:widowControl w:val="0"/>
              <w:spacing w:after="0"/>
              <w:rPr>
                <w:rFonts w:asciiTheme="minorHAnsi" w:hAnsiTheme="minorHAnsi"/>
                <w:color w:val="auto"/>
              </w:rPr>
            </w:pPr>
            <w:r w:rsidRPr="00095F84">
              <w:rPr>
                <w:rFonts w:asciiTheme="minorHAnsi" w:hAnsiTheme="minorHAnsi"/>
                <w:b/>
                <w:i/>
                <w:color w:val="auto"/>
                <w:sz w:val="20"/>
                <w:szCs w:val="20"/>
                <w:shd w:val="clear" w:color="auto" w:fill="D9D9D9"/>
              </w:rPr>
              <w:t>5</w:t>
            </w:r>
          </w:p>
        </w:tc>
        <w:tc>
          <w:tcPr>
            <w:tcW w:w="784" w:type="dxa"/>
            <w:tcBorders>
              <w:top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0B7178FD" w14:textId="77777777" w:rsidR="00BF593A" w:rsidRPr="00095F84" w:rsidRDefault="00BF593A" w:rsidP="00C36155">
            <w:pPr>
              <w:widowControl w:val="0"/>
              <w:spacing w:after="0"/>
              <w:rPr>
                <w:rFonts w:asciiTheme="minorHAnsi" w:hAnsiTheme="minorHAnsi"/>
                <w:color w:val="auto"/>
              </w:rPr>
            </w:pPr>
            <w:r w:rsidRPr="00095F84">
              <w:rPr>
                <w:rFonts w:asciiTheme="minorHAnsi" w:hAnsiTheme="minorHAnsi"/>
                <w:b/>
                <w:i/>
                <w:color w:val="auto"/>
                <w:sz w:val="20"/>
                <w:szCs w:val="20"/>
                <w:shd w:val="clear" w:color="auto" w:fill="D9D9D9"/>
              </w:rPr>
              <w:t>6</w:t>
            </w:r>
          </w:p>
        </w:tc>
        <w:tc>
          <w:tcPr>
            <w:tcW w:w="653" w:type="dxa"/>
            <w:tcBorders>
              <w:top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1B3B3F21" w14:textId="77777777" w:rsidR="00BF593A" w:rsidRPr="00095F84" w:rsidRDefault="00BF593A" w:rsidP="00C36155">
            <w:pPr>
              <w:widowControl w:val="0"/>
              <w:spacing w:after="0"/>
              <w:rPr>
                <w:rFonts w:asciiTheme="minorHAnsi" w:hAnsiTheme="minorHAnsi"/>
                <w:color w:val="auto"/>
              </w:rPr>
            </w:pPr>
            <w:r w:rsidRPr="00095F84">
              <w:rPr>
                <w:rFonts w:asciiTheme="minorHAnsi" w:hAnsiTheme="minorHAnsi"/>
                <w:b/>
                <w:i/>
                <w:color w:val="auto"/>
                <w:sz w:val="20"/>
                <w:szCs w:val="20"/>
                <w:shd w:val="clear" w:color="auto" w:fill="D9D9D9"/>
              </w:rPr>
              <w:t>7</w:t>
            </w:r>
          </w:p>
        </w:tc>
        <w:tc>
          <w:tcPr>
            <w:tcW w:w="737" w:type="dxa"/>
            <w:tcBorders>
              <w:top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4AF197D3" w14:textId="77777777" w:rsidR="00BF593A" w:rsidRPr="00095F84" w:rsidRDefault="00BF593A" w:rsidP="00C36155">
            <w:pPr>
              <w:widowControl w:val="0"/>
              <w:spacing w:after="0"/>
              <w:rPr>
                <w:rFonts w:asciiTheme="minorHAnsi" w:hAnsiTheme="minorHAnsi"/>
                <w:color w:val="auto"/>
              </w:rPr>
            </w:pPr>
            <w:r w:rsidRPr="00095F84">
              <w:rPr>
                <w:rFonts w:asciiTheme="minorHAnsi" w:hAnsiTheme="minorHAnsi"/>
                <w:b/>
                <w:i/>
                <w:color w:val="auto"/>
                <w:sz w:val="20"/>
                <w:szCs w:val="20"/>
                <w:shd w:val="clear" w:color="auto" w:fill="D9D9D9"/>
              </w:rPr>
              <w:t>8</w:t>
            </w:r>
          </w:p>
        </w:tc>
        <w:tc>
          <w:tcPr>
            <w:tcW w:w="724" w:type="dxa"/>
            <w:tcBorders>
              <w:top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315A5464" w14:textId="77777777" w:rsidR="00BF593A" w:rsidRPr="00095F84" w:rsidRDefault="00BF593A" w:rsidP="00C36155">
            <w:pPr>
              <w:widowControl w:val="0"/>
              <w:spacing w:after="0"/>
              <w:rPr>
                <w:rFonts w:asciiTheme="minorHAnsi" w:hAnsiTheme="minorHAnsi"/>
                <w:color w:val="auto"/>
              </w:rPr>
            </w:pPr>
            <w:r w:rsidRPr="00095F84">
              <w:rPr>
                <w:rFonts w:asciiTheme="minorHAnsi" w:hAnsiTheme="minorHAnsi"/>
                <w:b/>
                <w:i/>
                <w:color w:val="auto"/>
                <w:sz w:val="20"/>
                <w:szCs w:val="20"/>
                <w:shd w:val="clear" w:color="auto" w:fill="D9D9D9"/>
              </w:rPr>
              <w:t>9</w:t>
            </w:r>
          </w:p>
        </w:tc>
        <w:tc>
          <w:tcPr>
            <w:tcW w:w="724" w:type="dxa"/>
            <w:tcBorders>
              <w:top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716458E4" w14:textId="77777777" w:rsidR="00BF593A" w:rsidRPr="00095F84" w:rsidRDefault="00BF593A" w:rsidP="00C36155">
            <w:pPr>
              <w:widowControl w:val="0"/>
              <w:spacing w:after="0"/>
              <w:rPr>
                <w:rFonts w:asciiTheme="minorHAnsi" w:hAnsiTheme="minorHAnsi"/>
                <w:color w:val="auto"/>
              </w:rPr>
            </w:pPr>
            <w:r w:rsidRPr="00095F84">
              <w:rPr>
                <w:rFonts w:asciiTheme="minorHAnsi" w:hAnsiTheme="minorHAnsi"/>
                <w:b/>
                <w:i/>
                <w:color w:val="auto"/>
                <w:sz w:val="20"/>
                <w:szCs w:val="20"/>
                <w:shd w:val="clear" w:color="auto" w:fill="D9D9D9"/>
              </w:rPr>
              <w:t>10</w:t>
            </w:r>
          </w:p>
        </w:tc>
        <w:tc>
          <w:tcPr>
            <w:tcW w:w="640" w:type="dxa"/>
            <w:tcBorders>
              <w:top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31B3177E" w14:textId="77777777" w:rsidR="00BF593A" w:rsidRPr="00095F84" w:rsidRDefault="00BF593A" w:rsidP="00C36155">
            <w:pPr>
              <w:widowControl w:val="0"/>
              <w:spacing w:after="0"/>
              <w:rPr>
                <w:rFonts w:asciiTheme="minorHAnsi" w:hAnsiTheme="minorHAnsi"/>
                <w:color w:val="auto"/>
              </w:rPr>
            </w:pPr>
            <w:r w:rsidRPr="00095F84">
              <w:rPr>
                <w:rFonts w:asciiTheme="minorHAnsi" w:hAnsiTheme="minorHAnsi"/>
                <w:b/>
                <w:i/>
                <w:color w:val="auto"/>
                <w:sz w:val="20"/>
                <w:szCs w:val="20"/>
                <w:shd w:val="clear" w:color="auto" w:fill="D9D9D9"/>
              </w:rPr>
              <w:t>11</w:t>
            </w:r>
          </w:p>
        </w:tc>
        <w:tc>
          <w:tcPr>
            <w:tcW w:w="1080" w:type="dxa"/>
            <w:tcBorders>
              <w:top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3E990F92" w14:textId="77777777" w:rsidR="00BF593A" w:rsidRPr="00095F84" w:rsidRDefault="00BF593A" w:rsidP="00C36155">
            <w:pPr>
              <w:widowControl w:val="0"/>
              <w:spacing w:after="0"/>
              <w:rPr>
                <w:rFonts w:asciiTheme="minorHAnsi" w:hAnsiTheme="minorHAnsi"/>
                <w:color w:val="auto"/>
              </w:rPr>
            </w:pPr>
            <w:r w:rsidRPr="00095F84">
              <w:rPr>
                <w:rFonts w:asciiTheme="minorHAnsi" w:hAnsiTheme="minorHAnsi"/>
                <w:b/>
                <w:i/>
                <w:color w:val="auto"/>
                <w:sz w:val="20"/>
                <w:szCs w:val="20"/>
                <w:shd w:val="clear" w:color="auto" w:fill="D9D9D9"/>
              </w:rPr>
              <w:t>12</w:t>
            </w:r>
          </w:p>
        </w:tc>
      </w:tr>
      <w:tr w:rsidR="00C36155" w:rsidRPr="00BF14EB" w14:paraId="50E80625" w14:textId="77777777" w:rsidTr="00095F84">
        <w:trPr>
          <w:trHeight w:val="389"/>
        </w:trPr>
        <w:tc>
          <w:tcPr>
            <w:tcW w:w="1070" w:type="dxa"/>
            <w:tcBorders>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7401556B" w14:textId="77777777" w:rsidR="00BF593A" w:rsidRPr="00095F84" w:rsidRDefault="00BF593A" w:rsidP="00C36155">
            <w:pPr>
              <w:widowControl w:val="0"/>
              <w:spacing w:after="0"/>
              <w:rPr>
                <w:rFonts w:asciiTheme="minorHAnsi" w:hAnsiTheme="minorHAnsi"/>
                <w:color w:val="auto"/>
              </w:rPr>
            </w:pPr>
            <w:r w:rsidRPr="00095F84">
              <w:rPr>
                <w:rFonts w:asciiTheme="minorHAnsi" w:hAnsiTheme="minorHAnsi"/>
                <w:b/>
                <w:i/>
                <w:color w:val="auto"/>
                <w:sz w:val="20"/>
                <w:szCs w:val="20"/>
                <w:shd w:val="clear" w:color="auto" w:fill="D9D9D9"/>
              </w:rPr>
              <w:t>Project Y1</w:t>
            </w:r>
          </w:p>
        </w:tc>
        <w:tc>
          <w:tcPr>
            <w:tcW w:w="803" w:type="dxa"/>
            <w:tcBorders>
              <w:bottom w:val="single" w:sz="8" w:space="0" w:color="000000"/>
              <w:right w:val="single" w:sz="8" w:space="0" w:color="000000"/>
            </w:tcBorders>
            <w:shd w:val="clear" w:color="auto" w:fill="FFFFFF" w:themeFill="background1"/>
            <w:tcMar>
              <w:top w:w="100" w:type="dxa"/>
              <w:left w:w="100" w:type="dxa"/>
              <w:bottom w:w="100" w:type="dxa"/>
              <w:right w:w="100" w:type="dxa"/>
            </w:tcMar>
          </w:tcPr>
          <w:p w14:paraId="7236E19B" w14:textId="37B5DFA4" w:rsidR="00BF593A" w:rsidRPr="00095F84" w:rsidRDefault="00BF593A" w:rsidP="00C36155">
            <w:pPr>
              <w:widowControl w:val="0"/>
              <w:spacing w:after="0"/>
              <w:rPr>
                <w:rFonts w:asciiTheme="minorHAnsi" w:hAnsiTheme="minorHAnsi"/>
                <w:color w:val="auto"/>
              </w:rPr>
            </w:pPr>
            <w:r w:rsidRPr="00095F84">
              <w:rPr>
                <w:rFonts w:asciiTheme="minorHAnsi" w:hAnsiTheme="minorHAnsi"/>
                <w:b/>
                <w:i/>
                <w:color w:val="auto"/>
                <w:sz w:val="20"/>
                <w:szCs w:val="20"/>
                <w:shd w:val="clear" w:color="auto" w:fill="D5DCE4"/>
              </w:rPr>
              <w:t>TT</w:t>
            </w:r>
          </w:p>
        </w:tc>
        <w:tc>
          <w:tcPr>
            <w:tcW w:w="713" w:type="dxa"/>
            <w:tcBorders>
              <w:bottom w:val="single" w:sz="8" w:space="0" w:color="000000"/>
              <w:right w:val="single" w:sz="8" w:space="0" w:color="000000"/>
            </w:tcBorders>
            <w:shd w:val="clear" w:color="auto" w:fill="FFFFFF" w:themeFill="background1"/>
            <w:tcMar>
              <w:top w:w="100" w:type="dxa"/>
              <w:left w:w="100" w:type="dxa"/>
              <w:bottom w:w="100" w:type="dxa"/>
              <w:right w:w="100" w:type="dxa"/>
            </w:tcMar>
          </w:tcPr>
          <w:p w14:paraId="3E79DB57" w14:textId="77777777" w:rsidR="00BF593A" w:rsidRPr="00095F84" w:rsidRDefault="00BF593A" w:rsidP="00C36155">
            <w:pPr>
              <w:widowControl w:val="0"/>
              <w:spacing w:after="0"/>
              <w:rPr>
                <w:rFonts w:asciiTheme="minorHAnsi" w:hAnsiTheme="minorHAnsi"/>
                <w:color w:val="auto"/>
              </w:rPr>
            </w:pPr>
            <w:r w:rsidRPr="00095F84">
              <w:rPr>
                <w:rFonts w:asciiTheme="minorHAnsi" w:hAnsiTheme="minorHAnsi"/>
                <w:b/>
                <w:i/>
                <w:color w:val="auto"/>
                <w:sz w:val="20"/>
                <w:szCs w:val="20"/>
                <w:shd w:val="clear" w:color="auto" w:fill="D5DCE4"/>
              </w:rPr>
              <w:t>AAWP</w:t>
            </w:r>
          </w:p>
        </w:tc>
        <w:tc>
          <w:tcPr>
            <w:tcW w:w="749" w:type="dxa"/>
            <w:tcBorders>
              <w:bottom w:val="single" w:sz="8" w:space="0" w:color="000000"/>
              <w:right w:val="single" w:sz="8" w:space="0" w:color="000000"/>
            </w:tcBorders>
            <w:shd w:val="clear" w:color="auto" w:fill="FFFFFF" w:themeFill="background1"/>
            <w:tcMar>
              <w:top w:w="100" w:type="dxa"/>
              <w:left w:w="100" w:type="dxa"/>
              <w:bottom w:w="100" w:type="dxa"/>
              <w:right w:w="100" w:type="dxa"/>
            </w:tcMar>
          </w:tcPr>
          <w:p w14:paraId="63E05EF6" w14:textId="77777777" w:rsidR="00BF593A" w:rsidRPr="00095F84" w:rsidRDefault="00BF593A" w:rsidP="00C36155">
            <w:pPr>
              <w:widowControl w:val="0"/>
              <w:spacing w:after="0"/>
              <w:rPr>
                <w:rFonts w:asciiTheme="minorHAnsi" w:hAnsiTheme="minorHAnsi"/>
                <w:color w:val="auto"/>
              </w:rPr>
            </w:pPr>
            <w:r w:rsidRPr="00095F84">
              <w:rPr>
                <w:rFonts w:asciiTheme="minorHAnsi" w:hAnsiTheme="minorHAnsi"/>
                <w:b/>
                <w:i/>
                <w:color w:val="auto"/>
                <w:sz w:val="20"/>
                <w:szCs w:val="20"/>
                <w:shd w:val="clear" w:color="auto" w:fill="D5DCE4"/>
              </w:rPr>
              <w:t>QR</w:t>
            </w:r>
          </w:p>
        </w:tc>
        <w:tc>
          <w:tcPr>
            <w:tcW w:w="683" w:type="dxa"/>
            <w:tcBorders>
              <w:bottom w:val="single" w:sz="8" w:space="0" w:color="000000"/>
              <w:right w:val="single" w:sz="8" w:space="0" w:color="000000"/>
            </w:tcBorders>
            <w:shd w:val="clear" w:color="auto" w:fill="FFFFFF" w:themeFill="background1"/>
            <w:tcMar>
              <w:top w:w="100" w:type="dxa"/>
              <w:left w:w="100" w:type="dxa"/>
              <w:bottom w:w="100" w:type="dxa"/>
              <w:right w:w="100" w:type="dxa"/>
            </w:tcMar>
          </w:tcPr>
          <w:p w14:paraId="31A7F2B6" w14:textId="77777777" w:rsidR="00BF593A" w:rsidRPr="00095F84" w:rsidRDefault="00BF593A" w:rsidP="00C36155">
            <w:pPr>
              <w:widowControl w:val="0"/>
              <w:spacing w:after="0"/>
              <w:rPr>
                <w:rFonts w:asciiTheme="minorHAnsi" w:hAnsiTheme="minorHAnsi"/>
                <w:color w:val="auto"/>
                <w:sz w:val="20"/>
              </w:rPr>
            </w:pPr>
            <w:r w:rsidRPr="00095F84">
              <w:rPr>
                <w:rFonts w:asciiTheme="minorHAnsi" w:hAnsiTheme="minorHAnsi"/>
                <w:b/>
                <w:i/>
                <w:color w:val="auto"/>
                <w:sz w:val="20"/>
              </w:rPr>
              <w:t>PSC</w:t>
            </w:r>
          </w:p>
        </w:tc>
        <w:tc>
          <w:tcPr>
            <w:tcW w:w="620" w:type="dxa"/>
            <w:tcBorders>
              <w:bottom w:val="single" w:sz="8" w:space="0" w:color="000000"/>
              <w:right w:val="single" w:sz="8" w:space="0" w:color="000000"/>
            </w:tcBorders>
            <w:shd w:val="clear" w:color="auto" w:fill="FFFFFF" w:themeFill="background1"/>
            <w:tcMar>
              <w:top w:w="100" w:type="dxa"/>
              <w:left w:w="100" w:type="dxa"/>
              <w:bottom w:w="100" w:type="dxa"/>
              <w:right w:w="100" w:type="dxa"/>
            </w:tcMar>
          </w:tcPr>
          <w:p w14:paraId="131706D0" w14:textId="77777777" w:rsidR="00BF593A" w:rsidRPr="00095F84" w:rsidRDefault="00BF593A" w:rsidP="00C36155">
            <w:pPr>
              <w:widowControl w:val="0"/>
              <w:spacing w:after="0"/>
              <w:rPr>
                <w:rFonts w:asciiTheme="minorHAnsi" w:hAnsiTheme="minorHAnsi"/>
                <w:color w:val="auto"/>
              </w:rPr>
            </w:pPr>
            <w:r w:rsidRPr="00095F84">
              <w:rPr>
                <w:rFonts w:asciiTheme="minorHAnsi" w:hAnsiTheme="minorHAnsi"/>
                <w:b/>
                <w:i/>
                <w:color w:val="auto"/>
                <w:sz w:val="20"/>
                <w:szCs w:val="20"/>
              </w:rPr>
              <w:t xml:space="preserve"> </w:t>
            </w:r>
          </w:p>
        </w:tc>
        <w:tc>
          <w:tcPr>
            <w:tcW w:w="784" w:type="dxa"/>
            <w:tcBorders>
              <w:bottom w:val="single" w:sz="8" w:space="0" w:color="000000"/>
              <w:right w:val="single" w:sz="8" w:space="0" w:color="000000"/>
            </w:tcBorders>
            <w:shd w:val="clear" w:color="auto" w:fill="FFFFFF" w:themeFill="background1"/>
            <w:tcMar>
              <w:top w:w="100" w:type="dxa"/>
              <w:left w:w="100" w:type="dxa"/>
              <w:bottom w:w="100" w:type="dxa"/>
              <w:right w:w="100" w:type="dxa"/>
            </w:tcMar>
          </w:tcPr>
          <w:p w14:paraId="756D131B" w14:textId="77777777" w:rsidR="00BF593A" w:rsidRPr="00095F84" w:rsidRDefault="00BF593A" w:rsidP="00C36155">
            <w:pPr>
              <w:widowControl w:val="0"/>
              <w:spacing w:after="0"/>
              <w:rPr>
                <w:rFonts w:asciiTheme="minorHAnsi" w:hAnsiTheme="minorHAnsi"/>
                <w:color w:val="auto"/>
              </w:rPr>
            </w:pPr>
            <w:r w:rsidRPr="00095F84">
              <w:rPr>
                <w:rFonts w:asciiTheme="minorHAnsi" w:hAnsiTheme="minorHAnsi"/>
                <w:b/>
                <w:i/>
                <w:color w:val="auto"/>
                <w:sz w:val="20"/>
                <w:szCs w:val="20"/>
                <w:shd w:val="clear" w:color="auto" w:fill="D5DCE4"/>
              </w:rPr>
              <w:t>QR/PPR</w:t>
            </w:r>
          </w:p>
        </w:tc>
        <w:tc>
          <w:tcPr>
            <w:tcW w:w="653" w:type="dxa"/>
            <w:tcBorders>
              <w:bottom w:val="single" w:sz="8" w:space="0" w:color="000000"/>
              <w:right w:val="single" w:sz="8" w:space="0" w:color="000000"/>
            </w:tcBorders>
            <w:shd w:val="clear" w:color="auto" w:fill="FFFFFF" w:themeFill="background1"/>
            <w:tcMar>
              <w:top w:w="100" w:type="dxa"/>
              <w:left w:w="100" w:type="dxa"/>
              <w:bottom w:w="100" w:type="dxa"/>
              <w:right w:w="100" w:type="dxa"/>
            </w:tcMar>
          </w:tcPr>
          <w:p w14:paraId="7482DFD4" w14:textId="77777777" w:rsidR="00BF593A" w:rsidRPr="00095F84" w:rsidRDefault="00BF593A" w:rsidP="00C36155">
            <w:pPr>
              <w:widowControl w:val="0"/>
              <w:spacing w:after="0"/>
              <w:rPr>
                <w:rFonts w:asciiTheme="minorHAnsi" w:hAnsiTheme="minorHAnsi"/>
                <w:color w:val="auto"/>
              </w:rPr>
            </w:pPr>
            <w:r w:rsidRPr="00095F84">
              <w:rPr>
                <w:rFonts w:asciiTheme="minorHAnsi" w:hAnsiTheme="minorHAnsi"/>
                <w:b/>
                <w:i/>
                <w:color w:val="auto"/>
                <w:sz w:val="20"/>
              </w:rPr>
              <w:t>PSC</w:t>
            </w:r>
            <w:r w:rsidRPr="00095F84">
              <w:rPr>
                <w:rFonts w:asciiTheme="minorHAnsi" w:hAnsiTheme="minorHAnsi"/>
                <w:b/>
                <w:i/>
                <w:color w:val="auto"/>
                <w:sz w:val="18"/>
                <w:szCs w:val="20"/>
              </w:rPr>
              <w:t xml:space="preserve"> </w:t>
            </w:r>
          </w:p>
        </w:tc>
        <w:tc>
          <w:tcPr>
            <w:tcW w:w="737" w:type="dxa"/>
            <w:tcBorders>
              <w:bottom w:val="single" w:sz="8" w:space="0" w:color="000000"/>
              <w:right w:val="single" w:sz="8" w:space="0" w:color="000000"/>
            </w:tcBorders>
            <w:shd w:val="clear" w:color="auto" w:fill="FFFFFF" w:themeFill="background1"/>
            <w:tcMar>
              <w:top w:w="100" w:type="dxa"/>
              <w:left w:w="100" w:type="dxa"/>
              <w:bottom w:w="100" w:type="dxa"/>
              <w:right w:w="100" w:type="dxa"/>
            </w:tcMar>
          </w:tcPr>
          <w:p w14:paraId="5BD1ACF1" w14:textId="77777777" w:rsidR="00BF593A" w:rsidRPr="00095F84" w:rsidRDefault="00BF593A" w:rsidP="00C36155">
            <w:pPr>
              <w:widowControl w:val="0"/>
              <w:spacing w:after="0"/>
              <w:rPr>
                <w:rFonts w:asciiTheme="minorHAnsi" w:hAnsiTheme="minorHAnsi"/>
                <w:color w:val="auto"/>
              </w:rPr>
            </w:pPr>
            <w:r w:rsidRPr="00095F84">
              <w:rPr>
                <w:rFonts w:asciiTheme="minorHAnsi" w:hAnsiTheme="minorHAnsi"/>
                <w:b/>
                <w:i/>
                <w:color w:val="auto"/>
                <w:sz w:val="20"/>
                <w:szCs w:val="20"/>
              </w:rPr>
              <w:t xml:space="preserve"> </w:t>
            </w:r>
          </w:p>
        </w:tc>
        <w:tc>
          <w:tcPr>
            <w:tcW w:w="724" w:type="dxa"/>
            <w:tcBorders>
              <w:bottom w:val="single" w:sz="8" w:space="0" w:color="000000"/>
              <w:right w:val="single" w:sz="8" w:space="0" w:color="000000"/>
            </w:tcBorders>
            <w:shd w:val="clear" w:color="auto" w:fill="FFFFFF" w:themeFill="background1"/>
            <w:tcMar>
              <w:top w:w="100" w:type="dxa"/>
              <w:left w:w="100" w:type="dxa"/>
              <w:bottom w:w="100" w:type="dxa"/>
              <w:right w:w="100" w:type="dxa"/>
            </w:tcMar>
          </w:tcPr>
          <w:p w14:paraId="15E48D2B" w14:textId="77777777" w:rsidR="00BF593A" w:rsidRPr="00095F84" w:rsidRDefault="00BF593A" w:rsidP="00C36155">
            <w:pPr>
              <w:widowControl w:val="0"/>
              <w:spacing w:after="0"/>
              <w:rPr>
                <w:rFonts w:asciiTheme="minorHAnsi" w:hAnsiTheme="minorHAnsi"/>
                <w:color w:val="auto"/>
              </w:rPr>
            </w:pPr>
            <w:r w:rsidRPr="00095F84">
              <w:rPr>
                <w:rFonts w:asciiTheme="minorHAnsi" w:hAnsiTheme="minorHAnsi"/>
                <w:b/>
                <w:i/>
                <w:color w:val="auto"/>
                <w:sz w:val="20"/>
                <w:szCs w:val="20"/>
                <w:shd w:val="clear" w:color="auto" w:fill="D5DCE4"/>
              </w:rPr>
              <w:t>QR</w:t>
            </w:r>
          </w:p>
        </w:tc>
        <w:tc>
          <w:tcPr>
            <w:tcW w:w="724" w:type="dxa"/>
            <w:tcBorders>
              <w:bottom w:val="single" w:sz="8" w:space="0" w:color="000000"/>
              <w:right w:val="single" w:sz="8" w:space="0" w:color="000000"/>
            </w:tcBorders>
            <w:shd w:val="clear" w:color="auto" w:fill="FFFFFF" w:themeFill="background1"/>
            <w:tcMar>
              <w:top w:w="100" w:type="dxa"/>
              <w:left w:w="100" w:type="dxa"/>
              <w:bottom w:w="100" w:type="dxa"/>
              <w:right w:w="100" w:type="dxa"/>
            </w:tcMar>
          </w:tcPr>
          <w:p w14:paraId="7C086882" w14:textId="77777777" w:rsidR="00BF593A" w:rsidRPr="00095F84" w:rsidRDefault="00BF593A" w:rsidP="00C36155">
            <w:pPr>
              <w:widowControl w:val="0"/>
              <w:spacing w:after="0"/>
              <w:rPr>
                <w:rFonts w:asciiTheme="minorHAnsi" w:hAnsiTheme="minorHAnsi"/>
                <w:color w:val="auto"/>
              </w:rPr>
            </w:pPr>
            <w:r w:rsidRPr="00095F84">
              <w:rPr>
                <w:rFonts w:asciiTheme="minorHAnsi" w:hAnsiTheme="minorHAnsi"/>
                <w:b/>
                <w:i/>
                <w:color w:val="auto"/>
                <w:sz w:val="20"/>
              </w:rPr>
              <w:t>PSC</w:t>
            </w:r>
          </w:p>
        </w:tc>
        <w:tc>
          <w:tcPr>
            <w:tcW w:w="640" w:type="dxa"/>
            <w:tcBorders>
              <w:bottom w:val="single" w:sz="8" w:space="0" w:color="000000"/>
              <w:right w:val="single" w:sz="8" w:space="0" w:color="000000"/>
            </w:tcBorders>
            <w:shd w:val="clear" w:color="auto" w:fill="FFFFFF" w:themeFill="background1"/>
            <w:tcMar>
              <w:top w:w="100" w:type="dxa"/>
              <w:left w:w="100" w:type="dxa"/>
              <w:bottom w:w="100" w:type="dxa"/>
              <w:right w:w="100" w:type="dxa"/>
            </w:tcMar>
          </w:tcPr>
          <w:p w14:paraId="699E44C6" w14:textId="524F180C" w:rsidR="00BF593A" w:rsidRPr="00095F84" w:rsidRDefault="00BF593A" w:rsidP="00C36155">
            <w:pPr>
              <w:widowControl w:val="0"/>
              <w:spacing w:after="0"/>
              <w:rPr>
                <w:rFonts w:asciiTheme="minorHAnsi" w:hAnsiTheme="minorHAnsi"/>
                <w:color w:val="auto"/>
              </w:rPr>
            </w:pPr>
            <w:r w:rsidRPr="00095F84">
              <w:rPr>
                <w:rFonts w:asciiTheme="minorHAnsi" w:hAnsiTheme="minorHAnsi"/>
                <w:b/>
                <w:i/>
                <w:color w:val="auto"/>
                <w:sz w:val="20"/>
                <w:szCs w:val="20"/>
              </w:rPr>
              <w:t xml:space="preserve"> </w:t>
            </w:r>
            <w:r w:rsidR="00330972" w:rsidRPr="00095F84">
              <w:rPr>
                <w:rFonts w:asciiTheme="minorHAnsi" w:hAnsiTheme="minorHAnsi"/>
                <w:b/>
                <w:i/>
                <w:color w:val="auto"/>
                <w:sz w:val="20"/>
                <w:szCs w:val="20"/>
              </w:rPr>
              <w:t>AMR</w:t>
            </w:r>
          </w:p>
        </w:tc>
        <w:tc>
          <w:tcPr>
            <w:tcW w:w="1080" w:type="dxa"/>
            <w:tcBorders>
              <w:bottom w:val="single" w:sz="8" w:space="0" w:color="000000"/>
              <w:right w:val="single" w:sz="8" w:space="0" w:color="000000"/>
            </w:tcBorders>
            <w:shd w:val="clear" w:color="auto" w:fill="FFFFFF" w:themeFill="background1"/>
            <w:tcMar>
              <w:top w:w="100" w:type="dxa"/>
              <w:left w:w="100" w:type="dxa"/>
              <w:bottom w:w="100" w:type="dxa"/>
              <w:right w:w="100" w:type="dxa"/>
            </w:tcMar>
          </w:tcPr>
          <w:p w14:paraId="77C16260" w14:textId="77777777" w:rsidR="00BF593A" w:rsidRPr="00095F84" w:rsidRDefault="00BF593A" w:rsidP="00C36155">
            <w:pPr>
              <w:widowControl w:val="0"/>
              <w:spacing w:after="0"/>
              <w:rPr>
                <w:rFonts w:asciiTheme="minorHAnsi" w:hAnsiTheme="minorHAnsi"/>
                <w:color w:val="auto"/>
              </w:rPr>
            </w:pPr>
            <w:r w:rsidRPr="00095F84">
              <w:rPr>
                <w:rFonts w:asciiTheme="minorHAnsi" w:hAnsiTheme="minorHAnsi"/>
                <w:b/>
                <w:i/>
                <w:color w:val="auto"/>
                <w:sz w:val="20"/>
                <w:szCs w:val="20"/>
                <w:shd w:val="clear" w:color="auto" w:fill="D5DCE4"/>
              </w:rPr>
              <w:t>QR/PPR/ DAWP</w:t>
            </w:r>
            <w:r w:rsidRPr="00095F84">
              <w:rPr>
                <w:rFonts w:asciiTheme="minorHAnsi" w:hAnsiTheme="minorHAnsi"/>
                <w:b/>
                <w:i/>
                <w:color w:val="auto"/>
                <w:sz w:val="20"/>
                <w:szCs w:val="20"/>
              </w:rPr>
              <w:t xml:space="preserve"> PIR</w:t>
            </w:r>
          </w:p>
        </w:tc>
      </w:tr>
      <w:tr w:rsidR="00C36155" w:rsidRPr="00BF14EB" w14:paraId="67C389D4" w14:textId="77777777" w:rsidTr="00095F84">
        <w:trPr>
          <w:trHeight w:val="377"/>
        </w:trPr>
        <w:tc>
          <w:tcPr>
            <w:tcW w:w="1070" w:type="dxa"/>
            <w:tcBorders>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70408A49" w14:textId="77777777" w:rsidR="00BF593A" w:rsidRPr="00095F84" w:rsidRDefault="00BF593A" w:rsidP="00C36155">
            <w:pPr>
              <w:widowControl w:val="0"/>
              <w:spacing w:after="0"/>
              <w:rPr>
                <w:rFonts w:asciiTheme="minorHAnsi" w:hAnsiTheme="minorHAnsi"/>
                <w:color w:val="auto"/>
              </w:rPr>
            </w:pPr>
            <w:r w:rsidRPr="00095F84">
              <w:rPr>
                <w:rFonts w:asciiTheme="minorHAnsi" w:hAnsiTheme="minorHAnsi"/>
                <w:b/>
                <w:i/>
                <w:color w:val="auto"/>
                <w:sz w:val="20"/>
                <w:szCs w:val="20"/>
                <w:shd w:val="clear" w:color="auto" w:fill="D9D9D9"/>
              </w:rPr>
              <w:t>Project Y2</w:t>
            </w:r>
          </w:p>
        </w:tc>
        <w:tc>
          <w:tcPr>
            <w:tcW w:w="803" w:type="dxa"/>
            <w:tcBorders>
              <w:bottom w:val="single" w:sz="8" w:space="0" w:color="000000"/>
              <w:right w:val="single" w:sz="8" w:space="0" w:color="000000"/>
            </w:tcBorders>
            <w:shd w:val="clear" w:color="auto" w:fill="FFFFFF" w:themeFill="background1"/>
            <w:tcMar>
              <w:top w:w="100" w:type="dxa"/>
              <w:left w:w="100" w:type="dxa"/>
              <w:bottom w:w="100" w:type="dxa"/>
              <w:right w:w="100" w:type="dxa"/>
            </w:tcMar>
          </w:tcPr>
          <w:p w14:paraId="77061258" w14:textId="77777777" w:rsidR="00BF593A" w:rsidRPr="00095F84" w:rsidRDefault="00BF593A" w:rsidP="00C36155">
            <w:pPr>
              <w:widowControl w:val="0"/>
              <w:spacing w:after="0"/>
              <w:rPr>
                <w:rFonts w:asciiTheme="minorHAnsi" w:hAnsiTheme="minorHAnsi"/>
                <w:color w:val="auto"/>
              </w:rPr>
            </w:pPr>
            <w:r w:rsidRPr="00095F84">
              <w:rPr>
                <w:rFonts w:asciiTheme="minorHAnsi" w:hAnsiTheme="minorHAnsi"/>
                <w:b/>
                <w:i/>
                <w:color w:val="auto"/>
                <w:sz w:val="20"/>
                <w:szCs w:val="20"/>
              </w:rPr>
              <w:t>PSC</w:t>
            </w:r>
            <w:r w:rsidRPr="00095F84">
              <w:rPr>
                <w:rFonts w:asciiTheme="minorHAnsi" w:hAnsiTheme="minorHAnsi"/>
                <w:b/>
                <w:i/>
                <w:color w:val="auto"/>
                <w:sz w:val="20"/>
                <w:szCs w:val="20"/>
                <w:shd w:val="clear" w:color="auto" w:fill="D5DCE4"/>
              </w:rPr>
              <w:t xml:space="preserve"> /ATPR /AAWP</w:t>
            </w:r>
          </w:p>
        </w:tc>
        <w:tc>
          <w:tcPr>
            <w:tcW w:w="713" w:type="dxa"/>
            <w:tcBorders>
              <w:bottom w:val="single" w:sz="8" w:space="0" w:color="000000"/>
              <w:right w:val="single" w:sz="8" w:space="0" w:color="000000"/>
            </w:tcBorders>
            <w:shd w:val="clear" w:color="auto" w:fill="FFFFFF" w:themeFill="background1"/>
            <w:tcMar>
              <w:top w:w="100" w:type="dxa"/>
              <w:left w:w="100" w:type="dxa"/>
              <w:bottom w:w="100" w:type="dxa"/>
              <w:right w:w="100" w:type="dxa"/>
            </w:tcMar>
          </w:tcPr>
          <w:p w14:paraId="3EFAB5AD" w14:textId="77777777" w:rsidR="00BF593A" w:rsidRPr="00095F84" w:rsidRDefault="00BF593A" w:rsidP="00C36155">
            <w:pPr>
              <w:widowControl w:val="0"/>
              <w:spacing w:after="0"/>
              <w:rPr>
                <w:rFonts w:asciiTheme="minorHAnsi" w:hAnsiTheme="minorHAnsi"/>
                <w:color w:val="auto"/>
              </w:rPr>
            </w:pPr>
            <w:r w:rsidRPr="00095F84">
              <w:rPr>
                <w:rFonts w:asciiTheme="minorHAnsi" w:hAnsiTheme="minorHAnsi"/>
                <w:b/>
                <w:i/>
                <w:color w:val="auto"/>
                <w:sz w:val="20"/>
                <w:szCs w:val="20"/>
              </w:rPr>
              <w:t xml:space="preserve"> </w:t>
            </w:r>
          </w:p>
        </w:tc>
        <w:tc>
          <w:tcPr>
            <w:tcW w:w="749" w:type="dxa"/>
            <w:tcBorders>
              <w:bottom w:val="single" w:sz="8" w:space="0" w:color="000000"/>
              <w:right w:val="single" w:sz="8" w:space="0" w:color="000000"/>
            </w:tcBorders>
            <w:shd w:val="clear" w:color="auto" w:fill="FFFFFF" w:themeFill="background1"/>
            <w:tcMar>
              <w:top w:w="100" w:type="dxa"/>
              <w:left w:w="100" w:type="dxa"/>
              <w:bottom w:w="100" w:type="dxa"/>
              <w:right w:w="100" w:type="dxa"/>
            </w:tcMar>
          </w:tcPr>
          <w:p w14:paraId="3318837E" w14:textId="77777777" w:rsidR="00BF593A" w:rsidRPr="00095F84" w:rsidRDefault="00BF593A" w:rsidP="00C36155">
            <w:pPr>
              <w:widowControl w:val="0"/>
              <w:spacing w:after="0"/>
              <w:rPr>
                <w:rFonts w:asciiTheme="minorHAnsi" w:hAnsiTheme="minorHAnsi"/>
                <w:color w:val="auto"/>
              </w:rPr>
            </w:pPr>
            <w:r w:rsidRPr="00095F84">
              <w:rPr>
                <w:rFonts w:asciiTheme="minorHAnsi" w:hAnsiTheme="minorHAnsi"/>
                <w:b/>
                <w:i/>
                <w:color w:val="auto"/>
                <w:sz w:val="20"/>
                <w:szCs w:val="20"/>
                <w:shd w:val="clear" w:color="auto" w:fill="D5DCE4"/>
              </w:rPr>
              <w:t>QR</w:t>
            </w:r>
          </w:p>
        </w:tc>
        <w:tc>
          <w:tcPr>
            <w:tcW w:w="683" w:type="dxa"/>
            <w:tcBorders>
              <w:bottom w:val="single" w:sz="8" w:space="0" w:color="000000"/>
              <w:right w:val="single" w:sz="8" w:space="0" w:color="000000"/>
            </w:tcBorders>
            <w:shd w:val="clear" w:color="auto" w:fill="FFFFFF" w:themeFill="background1"/>
            <w:tcMar>
              <w:top w:w="100" w:type="dxa"/>
              <w:left w:w="100" w:type="dxa"/>
              <w:bottom w:w="100" w:type="dxa"/>
              <w:right w:w="100" w:type="dxa"/>
            </w:tcMar>
          </w:tcPr>
          <w:p w14:paraId="4E7943DA" w14:textId="77777777" w:rsidR="00BF593A" w:rsidRPr="00095F84" w:rsidRDefault="00BF593A" w:rsidP="00C36155">
            <w:pPr>
              <w:widowControl w:val="0"/>
              <w:spacing w:after="0"/>
              <w:rPr>
                <w:rFonts w:asciiTheme="minorHAnsi" w:hAnsiTheme="minorHAnsi"/>
                <w:color w:val="auto"/>
                <w:sz w:val="20"/>
              </w:rPr>
            </w:pPr>
            <w:r w:rsidRPr="00095F84">
              <w:rPr>
                <w:rFonts w:asciiTheme="minorHAnsi" w:hAnsiTheme="minorHAnsi"/>
                <w:b/>
                <w:i/>
                <w:color w:val="auto"/>
                <w:sz w:val="20"/>
              </w:rPr>
              <w:t>PSC</w:t>
            </w:r>
          </w:p>
        </w:tc>
        <w:tc>
          <w:tcPr>
            <w:tcW w:w="620" w:type="dxa"/>
            <w:tcBorders>
              <w:bottom w:val="single" w:sz="8" w:space="0" w:color="000000"/>
              <w:right w:val="single" w:sz="8" w:space="0" w:color="000000"/>
            </w:tcBorders>
            <w:shd w:val="clear" w:color="auto" w:fill="FFFFFF" w:themeFill="background1"/>
            <w:tcMar>
              <w:top w:w="100" w:type="dxa"/>
              <w:left w:w="100" w:type="dxa"/>
              <w:bottom w:w="100" w:type="dxa"/>
              <w:right w:w="100" w:type="dxa"/>
            </w:tcMar>
          </w:tcPr>
          <w:p w14:paraId="1D2CDC30" w14:textId="77777777" w:rsidR="00BF593A" w:rsidRPr="00095F84" w:rsidRDefault="00BF593A" w:rsidP="00C36155">
            <w:pPr>
              <w:widowControl w:val="0"/>
              <w:spacing w:after="0"/>
              <w:rPr>
                <w:rFonts w:asciiTheme="minorHAnsi" w:hAnsiTheme="minorHAnsi"/>
                <w:color w:val="auto"/>
              </w:rPr>
            </w:pPr>
            <w:r w:rsidRPr="00095F84">
              <w:rPr>
                <w:rFonts w:asciiTheme="minorHAnsi" w:hAnsiTheme="minorHAnsi"/>
                <w:b/>
                <w:i/>
                <w:color w:val="auto"/>
                <w:sz w:val="20"/>
                <w:szCs w:val="20"/>
              </w:rPr>
              <w:t xml:space="preserve"> </w:t>
            </w:r>
          </w:p>
        </w:tc>
        <w:tc>
          <w:tcPr>
            <w:tcW w:w="784" w:type="dxa"/>
            <w:tcBorders>
              <w:bottom w:val="single" w:sz="8" w:space="0" w:color="000000"/>
              <w:right w:val="single" w:sz="8" w:space="0" w:color="000000"/>
            </w:tcBorders>
            <w:shd w:val="clear" w:color="auto" w:fill="FFFFFF" w:themeFill="background1"/>
            <w:tcMar>
              <w:top w:w="100" w:type="dxa"/>
              <w:left w:w="100" w:type="dxa"/>
              <w:bottom w:w="100" w:type="dxa"/>
              <w:right w:w="100" w:type="dxa"/>
            </w:tcMar>
          </w:tcPr>
          <w:p w14:paraId="5D07D6AE" w14:textId="77777777" w:rsidR="00BF593A" w:rsidRPr="00095F84" w:rsidRDefault="00BF593A" w:rsidP="00C36155">
            <w:pPr>
              <w:widowControl w:val="0"/>
              <w:spacing w:after="0"/>
              <w:rPr>
                <w:rFonts w:asciiTheme="minorHAnsi" w:hAnsiTheme="minorHAnsi"/>
                <w:color w:val="auto"/>
              </w:rPr>
            </w:pPr>
            <w:r w:rsidRPr="00095F84">
              <w:rPr>
                <w:rFonts w:asciiTheme="minorHAnsi" w:hAnsiTheme="minorHAnsi"/>
                <w:b/>
                <w:i/>
                <w:color w:val="auto"/>
                <w:sz w:val="20"/>
                <w:szCs w:val="20"/>
                <w:shd w:val="clear" w:color="auto" w:fill="D5DCE4"/>
              </w:rPr>
              <w:t>QR/ PPR</w:t>
            </w:r>
          </w:p>
        </w:tc>
        <w:tc>
          <w:tcPr>
            <w:tcW w:w="653" w:type="dxa"/>
            <w:tcBorders>
              <w:bottom w:val="single" w:sz="8" w:space="0" w:color="000000"/>
              <w:right w:val="single" w:sz="8" w:space="0" w:color="000000"/>
            </w:tcBorders>
            <w:shd w:val="clear" w:color="auto" w:fill="FFFFFF" w:themeFill="background1"/>
            <w:tcMar>
              <w:top w:w="100" w:type="dxa"/>
              <w:left w:w="100" w:type="dxa"/>
              <w:bottom w:w="100" w:type="dxa"/>
              <w:right w:w="100" w:type="dxa"/>
            </w:tcMar>
          </w:tcPr>
          <w:p w14:paraId="10C3C8BA" w14:textId="4AD834C5" w:rsidR="00BF593A" w:rsidRPr="00095F84" w:rsidRDefault="00BF593A" w:rsidP="00C36155">
            <w:pPr>
              <w:widowControl w:val="0"/>
              <w:spacing w:after="0"/>
              <w:rPr>
                <w:rFonts w:asciiTheme="minorHAnsi" w:hAnsiTheme="minorHAnsi"/>
                <w:color w:val="auto"/>
              </w:rPr>
            </w:pPr>
            <w:r w:rsidRPr="00095F84">
              <w:rPr>
                <w:rFonts w:asciiTheme="minorHAnsi" w:hAnsiTheme="minorHAnsi"/>
                <w:b/>
                <w:i/>
                <w:color w:val="auto"/>
                <w:sz w:val="20"/>
              </w:rPr>
              <w:t>PSC</w:t>
            </w:r>
            <w:r w:rsidRPr="00095F84">
              <w:rPr>
                <w:rFonts w:asciiTheme="minorHAnsi" w:hAnsiTheme="minorHAnsi"/>
                <w:b/>
                <w:i/>
                <w:color w:val="auto"/>
                <w:sz w:val="20"/>
                <w:szCs w:val="20"/>
                <w:shd w:val="clear" w:color="auto" w:fill="D5DCE4"/>
              </w:rPr>
              <w:t xml:space="preserve"> /MTR/G</w:t>
            </w:r>
            <w:r w:rsidR="004110C2" w:rsidRPr="00095F84">
              <w:rPr>
                <w:rFonts w:asciiTheme="minorHAnsi" w:hAnsiTheme="minorHAnsi"/>
                <w:b/>
                <w:i/>
                <w:color w:val="auto"/>
                <w:sz w:val="20"/>
                <w:szCs w:val="20"/>
                <w:shd w:val="clear" w:color="auto" w:fill="D5DCE4"/>
              </w:rPr>
              <w:t>CI</w:t>
            </w:r>
          </w:p>
        </w:tc>
        <w:tc>
          <w:tcPr>
            <w:tcW w:w="737" w:type="dxa"/>
            <w:tcBorders>
              <w:bottom w:val="single" w:sz="8" w:space="0" w:color="000000"/>
              <w:right w:val="single" w:sz="8" w:space="0" w:color="000000"/>
            </w:tcBorders>
            <w:shd w:val="clear" w:color="auto" w:fill="FFFFFF" w:themeFill="background1"/>
            <w:tcMar>
              <w:top w:w="100" w:type="dxa"/>
              <w:left w:w="100" w:type="dxa"/>
              <w:bottom w:w="100" w:type="dxa"/>
              <w:right w:w="100" w:type="dxa"/>
            </w:tcMar>
          </w:tcPr>
          <w:p w14:paraId="41F8302F" w14:textId="77777777" w:rsidR="00BF593A" w:rsidRPr="00095F84" w:rsidRDefault="00BF593A" w:rsidP="00C36155">
            <w:pPr>
              <w:widowControl w:val="0"/>
              <w:spacing w:after="0"/>
              <w:rPr>
                <w:rFonts w:asciiTheme="minorHAnsi" w:hAnsiTheme="minorHAnsi"/>
                <w:color w:val="auto"/>
              </w:rPr>
            </w:pPr>
            <w:r w:rsidRPr="00095F84">
              <w:rPr>
                <w:rFonts w:asciiTheme="minorHAnsi" w:hAnsiTheme="minorHAnsi"/>
                <w:b/>
                <w:i/>
                <w:color w:val="auto"/>
                <w:sz w:val="20"/>
                <w:szCs w:val="20"/>
                <w:shd w:val="clear" w:color="auto" w:fill="D5DCE4"/>
              </w:rPr>
              <w:t>MTE</w:t>
            </w:r>
          </w:p>
        </w:tc>
        <w:tc>
          <w:tcPr>
            <w:tcW w:w="724" w:type="dxa"/>
            <w:tcBorders>
              <w:bottom w:val="single" w:sz="8" w:space="0" w:color="000000"/>
              <w:right w:val="single" w:sz="8" w:space="0" w:color="000000"/>
            </w:tcBorders>
            <w:shd w:val="clear" w:color="auto" w:fill="FFFFFF" w:themeFill="background1"/>
            <w:tcMar>
              <w:top w:w="100" w:type="dxa"/>
              <w:left w:w="100" w:type="dxa"/>
              <w:bottom w:w="100" w:type="dxa"/>
              <w:right w:w="100" w:type="dxa"/>
            </w:tcMar>
          </w:tcPr>
          <w:p w14:paraId="695D3FC8" w14:textId="77777777" w:rsidR="00BF593A" w:rsidRPr="00095F84" w:rsidRDefault="00BF593A" w:rsidP="00C36155">
            <w:pPr>
              <w:widowControl w:val="0"/>
              <w:spacing w:after="0"/>
              <w:rPr>
                <w:rFonts w:asciiTheme="minorHAnsi" w:hAnsiTheme="minorHAnsi"/>
                <w:color w:val="auto"/>
              </w:rPr>
            </w:pPr>
            <w:r w:rsidRPr="00095F84">
              <w:rPr>
                <w:rFonts w:asciiTheme="minorHAnsi" w:hAnsiTheme="minorHAnsi"/>
                <w:b/>
                <w:i/>
                <w:color w:val="auto"/>
                <w:sz w:val="20"/>
                <w:szCs w:val="20"/>
                <w:shd w:val="clear" w:color="auto" w:fill="D5DCE4"/>
              </w:rPr>
              <w:t>QR/ MTE</w:t>
            </w:r>
          </w:p>
        </w:tc>
        <w:tc>
          <w:tcPr>
            <w:tcW w:w="724" w:type="dxa"/>
            <w:tcBorders>
              <w:bottom w:val="single" w:sz="8" w:space="0" w:color="000000"/>
              <w:right w:val="single" w:sz="8" w:space="0" w:color="000000"/>
            </w:tcBorders>
            <w:shd w:val="clear" w:color="auto" w:fill="FFFFFF" w:themeFill="background1"/>
            <w:tcMar>
              <w:top w:w="100" w:type="dxa"/>
              <w:left w:w="100" w:type="dxa"/>
              <w:bottom w:w="100" w:type="dxa"/>
              <w:right w:w="100" w:type="dxa"/>
            </w:tcMar>
          </w:tcPr>
          <w:p w14:paraId="3964CB26" w14:textId="77777777" w:rsidR="00BF593A" w:rsidRPr="00095F84" w:rsidRDefault="00BF593A" w:rsidP="00C36155">
            <w:pPr>
              <w:widowControl w:val="0"/>
              <w:spacing w:after="0"/>
              <w:rPr>
                <w:rFonts w:asciiTheme="minorHAnsi" w:hAnsiTheme="minorHAnsi"/>
                <w:color w:val="auto"/>
                <w:sz w:val="20"/>
              </w:rPr>
            </w:pPr>
            <w:r w:rsidRPr="00095F84">
              <w:rPr>
                <w:rFonts w:asciiTheme="minorHAnsi" w:hAnsiTheme="minorHAnsi"/>
                <w:b/>
                <w:i/>
                <w:color w:val="auto"/>
                <w:sz w:val="20"/>
                <w:szCs w:val="20"/>
              </w:rPr>
              <w:t xml:space="preserve"> </w:t>
            </w:r>
            <w:r w:rsidRPr="00095F84">
              <w:rPr>
                <w:rFonts w:asciiTheme="minorHAnsi" w:hAnsiTheme="minorHAnsi"/>
                <w:b/>
                <w:i/>
                <w:color w:val="auto"/>
                <w:sz w:val="20"/>
              </w:rPr>
              <w:t>PSC</w:t>
            </w:r>
          </w:p>
        </w:tc>
        <w:tc>
          <w:tcPr>
            <w:tcW w:w="640" w:type="dxa"/>
            <w:tcBorders>
              <w:bottom w:val="single" w:sz="8" w:space="0" w:color="000000"/>
              <w:right w:val="single" w:sz="8" w:space="0" w:color="000000"/>
            </w:tcBorders>
            <w:shd w:val="clear" w:color="auto" w:fill="FFFFFF" w:themeFill="background1"/>
            <w:tcMar>
              <w:top w:w="100" w:type="dxa"/>
              <w:left w:w="100" w:type="dxa"/>
              <w:bottom w:w="100" w:type="dxa"/>
              <w:right w:w="100" w:type="dxa"/>
            </w:tcMar>
          </w:tcPr>
          <w:p w14:paraId="6AD2556E" w14:textId="721989E1" w:rsidR="00BF593A" w:rsidRPr="00095F84" w:rsidRDefault="00BF593A" w:rsidP="00C36155">
            <w:pPr>
              <w:widowControl w:val="0"/>
              <w:spacing w:after="0"/>
              <w:rPr>
                <w:rFonts w:asciiTheme="minorHAnsi" w:hAnsiTheme="minorHAnsi"/>
                <w:color w:val="auto"/>
              </w:rPr>
            </w:pPr>
            <w:r w:rsidRPr="00095F84">
              <w:rPr>
                <w:rFonts w:asciiTheme="minorHAnsi" w:hAnsiTheme="minorHAnsi"/>
                <w:b/>
                <w:i/>
                <w:color w:val="auto"/>
                <w:sz w:val="20"/>
                <w:szCs w:val="20"/>
              </w:rPr>
              <w:t xml:space="preserve"> </w:t>
            </w:r>
            <w:r w:rsidR="00330972" w:rsidRPr="00095F84">
              <w:rPr>
                <w:rFonts w:asciiTheme="minorHAnsi" w:hAnsiTheme="minorHAnsi"/>
                <w:b/>
                <w:i/>
                <w:color w:val="auto"/>
                <w:sz w:val="20"/>
                <w:szCs w:val="20"/>
              </w:rPr>
              <w:t>AMR</w:t>
            </w:r>
          </w:p>
        </w:tc>
        <w:tc>
          <w:tcPr>
            <w:tcW w:w="1080" w:type="dxa"/>
            <w:tcBorders>
              <w:bottom w:val="single" w:sz="8" w:space="0" w:color="000000"/>
              <w:right w:val="single" w:sz="8" w:space="0" w:color="000000"/>
            </w:tcBorders>
            <w:shd w:val="clear" w:color="auto" w:fill="FFFFFF" w:themeFill="background1"/>
            <w:tcMar>
              <w:top w:w="100" w:type="dxa"/>
              <w:left w:w="100" w:type="dxa"/>
              <w:bottom w:w="100" w:type="dxa"/>
              <w:right w:w="100" w:type="dxa"/>
            </w:tcMar>
          </w:tcPr>
          <w:p w14:paraId="22245AFE" w14:textId="77777777" w:rsidR="00BF593A" w:rsidRPr="00095F84" w:rsidRDefault="00BF593A" w:rsidP="00C36155">
            <w:pPr>
              <w:widowControl w:val="0"/>
              <w:spacing w:after="0"/>
              <w:rPr>
                <w:rFonts w:asciiTheme="minorHAnsi" w:hAnsiTheme="minorHAnsi"/>
                <w:color w:val="auto"/>
              </w:rPr>
            </w:pPr>
            <w:r w:rsidRPr="00095F84">
              <w:rPr>
                <w:rFonts w:asciiTheme="minorHAnsi" w:hAnsiTheme="minorHAnsi"/>
                <w:b/>
                <w:i/>
                <w:color w:val="auto"/>
                <w:sz w:val="20"/>
                <w:szCs w:val="20"/>
                <w:shd w:val="clear" w:color="auto" w:fill="D5DCE4"/>
              </w:rPr>
              <w:t>QR/PPR/ DAWP/</w:t>
            </w:r>
            <w:r w:rsidRPr="00095F84">
              <w:rPr>
                <w:rFonts w:asciiTheme="minorHAnsi" w:hAnsiTheme="minorHAnsi"/>
                <w:b/>
                <w:i/>
                <w:color w:val="auto"/>
                <w:sz w:val="20"/>
                <w:szCs w:val="20"/>
              </w:rPr>
              <w:t xml:space="preserve"> PIR</w:t>
            </w:r>
          </w:p>
        </w:tc>
      </w:tr>
      <w:tr w:rsidR="00C36155" w:rsidRPr="00BF14EB" w14:paraId="40CDABB3" w14:textId="77777777" w:rsidTr="00095F84">
        <w:trPr>
          <w:trHeight w:val="1035"/>
        </w:trPr>
        <w:tc>
          <w:tcPr>
            <w:tcW w:w="1070" w:type="dxa"/>
            <w:tcBorders>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538B75C3" w14:textId="77777777" w:rsidR="00BF593A" w:rsidRPr="00095F84" w:rsidRDefault="00BF593A" w:rsidP="00C36155">
            <w:pPr>
              <w:widowControl w:val="0"/>
              <w:spacing w:after="0"/>
              <w:rPr>
                <w:rFonts w:asciiTheme="minorHAnsi" w:hAnsiTheme="minorHAnsi"/>
                <w:color w:val="auto"/>
              </w:rPr>
            </w:pPr>
            <w:r w:rsidRPr="00095F84">
              <w:rPr>
                <w:rFonts w:asciiTheme="minorHAnsi" w:hAnsiTheme="minorHAnsi"/>
                <w:b/>
                <w:i/>
                <w:color w:val="auto"/>
                <w:sz w:val="20"/>
                <w:szCs w:val="20"/>
                <w:shd w:val="clear" w:color="auto" w:fill="D9D9D9"/>
              </w:rPr>
              <w:t>Project Y3</w:t>
            </w:r>
          </w:p>
        </w:tc>
        <w:tc>
          <w:tcPr>
            <w:tcW w:w="803" w:type="dxa"/>
            <w:tcBorders>
              <w:bottom w:val="single" w:sz="8" w:space="0" w:color="000000"/>
              <w:right w:val="single" w:sz="8" w:space="0" w:color="000000"/>
            </w:tcBorders>
            <w:shd w:val="clear" w:color="auto" w:fill="FFFFFF" w:themeFill="background1"/>
            <w:tcMar>
              <w:top w:w="100" w:type="dxa"/>
              <w:left w:w="100" w:type="dxa"/>
              <w:bottom w:w="100" w:type="dxa"/>
              <w:right w:w="100" w:type="dxa"/>
            </w:tcMar>
          </w:tcPr>
          <w:p w14:paraId="28319B53" w14:textId="77777777" w:rsidR="00BF593A" w:rsidRPr="00095F84" w:rsidRDefault="00BF593A" w:rsidP="00C36155">
            <w:pPr>
              <w:widowControl w:val="0"/>
              <w:spacing w:after="0"/>
              <w:rPr>
                <w:rFonts w:asciiTheme="minorHAnsi" w:hAnsiTheme="minorHAnsi"/>
                <w:color w:val="auto"/>
              </w:rPr>
            </w:pPr>
            <w:r w:rsidRPr="00095F84">
              <w:rPr>
                <w:rFonts w:asciiTheme="minorHAnsi" w:hAnsiTheme="minorHAnsi"/>
                <w:b/>
                <w:i/>
                <w:color w:val="auto"/>
                <w:sz w:val="20"/>
                <w:szCs w:val="20"/>
              </w:rPr>
              <w:t>PSC</w:t>
            </w:r>
            <w:r w:rsidRPr="00095F84">
              <w:rPr>
                <w:rFonts w:asciiTheme="minorHAnsi" w:hAnsiTheme="minorHAnsi"/>
                <w:b/>
                <w:i/>
                <w:color w:val="auto"/>
                <w:sz w:val="20"/>
                <w:szCs w:val="20"/>
                <w:shd w:val="clear" w:color="auto" w:fill="D5DCE4"/>
              </w:rPr>
              <w:t xml:space="preserve"> /ATPR /AAWP</w:t>
            </w:r>
          </w:p>
        </w:tc>
        <w:tc>
          <w:tcPr>
            <w:tcW w:w="713" w:type="dxa"/>
            <w:tcBorders>
              <w:bottom w:val="single" w:sz="8" w:space="0" w:color="000000"/>
              <w:right w:val="single" w:sz="8" w:space="0" w:color="000000"/>
            </w:tcBorders>
            <w:shd w:val="clear" w:color="auto" w:fill="FFFFFF" w:themeFill="background1"/>
            <w:tcMar>
              <w:top w:w="100" w:type="dxa"/>
              <w:left w:w="100" w:type="dxa"/>
              <w:bottom w:w="100" w:type="dxa"/>
              <w:right w:w="100" w:type="dxa"/>
            </w:tcMar>
          </w:tcPr>
          <w:p w14:paraId="12207EB2" w14:textId="77777777" w:rsidR="00BF593A" w:rsidRPr="00095F84" w:rsidRDefault="00BF593A" w:rsidP="00C36155">
            <w:pPr>
              <w:widowControl w:val="0"/>
              <w:spacing w:after="0"/>
              <w:rPr>
                <w:rFonts w:asciiTheme="minorHAnsi" w:hAnsiTheme="minorHAnsi"/>
                <w:color w:val="auto"/>
              </w:rPr>
            </w:pPr>
          </w:p>
        </w:tc>
        <w:tc>
          <w:tcPr>
            <w:tcW w:w="749" w:type="dxa"/>
            <w:tcBorders>
              <w:bottom w:val="single" w:sz="8" w:space="0" w:color="000000"/>
              <w:right w:val="single" w:sz="8" w:space="0" w:color="000000"/>
            </w:tcBorders>
            <w:shd w:val="clear" w:color="auto" w:fill="FFFFFF" w:themeFill="background1"/>
            <w:tcMar>
              <w:top w:w="100" w:type="dxa"/>
              <w:left w:w="100" w:type="dxa"/>
              <w:bottom w:w="100" w:type="dxa"/>
              <w:right w:w="100" w:type="dxa"/>
            </w:tcMar>
          </w:tcPr>
          <w:p w14:paraId="03A92758" w14:textId="77777777" w:rsidR="00BF593A" w:rsidRPr="00095F84" w:rsidRDefault="00BF593A" w:rsidP="00C36155">
            <w:pPr>
              <w:widowControl w:val="0"/>
              <w:spacing w:after="0"/>
              <w:rPr>
                <w:rFonts w:asciiTheme="minorHAnsi" w:hAnsiTheme="minorHAnsi"/>
                <w:color w:val="auto"/>
              </w:rPr>
            </w:pPr>
            <w:r w:rsidRPr="00095F84">
              <w:rPr>
                <w:rFonts w:asciiTheme="minorHAnsi" w:hAnsiTheme="minorHAnsi"/>
                <w:b/>
                <w:i/>
                <w:color w:val="auto"/>
                <w:sz w:val="20"/>
                <w:szCs w:val="20"/>
                <w:shd w:val="clear" w:color="auto" w:fill="D5DCE4"/>
              </w:rPr>
              <w:t>QR</w:t>
            </w:r>
          </w:p>
        </w:tc>
        <w:tc>
          <w:tcPr>
            <w:tcW w:w="683" w:type="dxa"/>
            <w:tcBorders>
              <w:bottom w:val="single" w:sz="8" w:space="0" w:color="000000"/>
              <w:right w:val="single" w:sz="8" w:space="0" w:color="000000"/>
            </w:tcBorders>
            <w:shd w:val="clear" w:color="auto" w:fill="FFFFFF" w:themeFill="background1"/>
            <w:tcMar>
              <w:top w:w="100" w:type="dxa"/>
              <w:left w:w="100" w:type="dxa"/>
              <w:bottom w:w="100" w:type="dxa"/>
              <w:right w:w="100" w:type="dxa"/>
            </w:tcMar>
          </w:tcPr>
          <w:p w14:paraId="0B5702AF" w14:textId="77777777" w:rsidR="00BF593A" w:rsidRPr="00095F84" w:rsidRDefault="00BF593A" w:rsidP="00C36155">
            <w:pPr>
              <w:widowControl w:val="0"/>
              <w:spacing w:after="0"/>
              <w:rPr>
                <w:rFonts w:asciiTheme="minorHAnsi" w:hAnsiTheme="minorHAnsi"/>
                <w:color w:val="auto"/>
                <w:sz w:val="20"/>
              </w:rPr>
            </w:pPr>
            <w:r w:rsidRPr="00095F84">
              <w:rPr>
                <w:rFonts w:asciiTheme="minorHAnsi" w:hAnsiTheme="minorHAnsi"/>
                <w:b/>
                <w:i/>
                <w:color w:val="auto"/>
                <w:sz w:val="20"/>
              </w:rPr>
              <w:t>PSC</w:t>
            </w:r>
          </w:p>
        </w:tc>
        <w:tc>
          <w:tcPr>
            <w:tcW w:w="620" w:type="dxa"/>
            <w:tcBorders>
              <w:bottom w:val="single" w:sz="8" w:space="0" w:color="000000"/>
              <w:right w:val="single" w:sz="8" w:space="0" w:color="000000"/>
            </w:tcBorders>
            <w:shd w:val="clear" w:color="auto" w:fill="FFFFFF" w:themeFill="background1"/>
            <w:tcMar>
              <w:top w:w="100" w:type="dxa"/>
              <w:left w:w="100" w:type="dxa"/>
              <w:bottom w:w="100" w:type="dxa"/>
              <w:right w:w="100" w:type="dxa"/>
            </w:tcMar>
          </w:tcPr>
          <w:p w14:paraId="240EB164" w14:textId="77777777" w:rsidR="00BF593A" w:rsidRPr="00095F84" w:rsidRDefault="00BF593A" w:rsidP="00C36155">
            <w:pPr>
              <w:widowControl w:val="0"/>
              <w:spacing w:after="0"/>
              <w:rPr>
                <w:rFonts w:asciiTheme="minorHAnsi" w:hAnsiTheme="minorHAnsi"/>
                <w:color w:val="auto"/>
              </w:rPr>
            </w:pPr>
            <w:r w:rsidRPr="00095F84">
              <w:rPr>
                <w:rFonts w:asciiTheme="minorHAnsi" w:hAnsiTheme="minorHAnsi"/>
                <w:b/>
                <w:i/>
                <w:color w:val="auto"/>
                <w:sz w:val="20"/>
                <w:szCs w:val="20"/>
                <w:shd w:val="clear" w:color="auto" w:fill="D5DCE4"/>
              </w:rPr>
              <w:t xml:space="preserve"> </w:t>
            </w:r>
          </w:p>
        </w:tc>
        <w:tc>
          <w:tcPr>
            <w:tcW w:w="784" w:type="dxa"/>
            <w:tcBorders>
              <w:bottom w:val="single" w:sz="8" w:space="0" w:color="000000"/>
              <w:right w:val="single" w:sz="8" w:space="0" w:color="000000"/>
            </w:tcBorders>
            <w:shd w:val="clear" w:color="auto" w:fill="FFFFFF" w:themeFill="background1"/>
            <w:tcMar>
              <w:top w:w="100" w:type="dxa"/>
              <w:left w:w="100" w:type="dxa"/>
              <w:bottom w:w="100" w:type="dxa"/>
              <w:right w:w="100" w:type="dxa"/>
            </w:tcMar>
          </w:tcPr>
          <w:p w14:paraId="62B81D8C" w14:textId="77777777" w:rsidR="00BF593A" w:rsidRPr="00095F84" w:rsidRDefault="00BF593A" w:rsidP="00C36155">
            <w:pPr>
              <w:widowControl w:val="0"/>
              <w:spacing w:after="0"/>
              <w:rPr>
                <w:rFonts w:asciiTheme="minorHAnsi" w:hAnsiTheme="minorHAnsi"/>
                <w:color w:val="auto"/>
              </w:rPr>
            </w:pPr>
            <w:r w:rsidRPr="00095F84">
              <w:rPr>
                <w:rFonts w:asciiTheme="minorHAnsi" w:hAnsiTheme="minorHAnsi"/>
                <w:b/>
                <w:i/>
                <w:color w:val="auto"/>
                <w:sz w:val="20"/>
                <w:szCs w:val="20"/>
                <w:shd w:val="clear" w:color="auto" w:fill="D5DCE4"/>
              </w:rPr>
              <w:t>QR/ PPR</w:t>
            </w:r>
          </w:p>
        </w:tc>
        <w:tc>
          <w:tcPr>
            <w:tcW w:w="653" w:type="dxa"/>
            <w:tcBorders>
              <w:bottom w:val="single" w:sz="8" w:space="0" w:color="000000"/>
              <w:right w:val="single" w:sz="8" w:space="0" w:color="000000"/>
            </w:tcBorders>
            <w:shd w:val="clear" w:color="auto" w:fill="FFFFFF" w:themeFill="background1"/>
            <w:tcMar>
              <w:top w:w="100" w:type="dxa"/>
              <w:left w:w="100" w:type="dxa"/>
              <w:bottom w:w="100" w:type="dxa"/>
              <w:right w:w="100" w:type="dxa"/>
            </w:tcMar>
          </w:tcPr>
          <w:p w14:paraId="4C5263FE" w14:textId="77777777" w:rsidR="00BF593A" w:rsidRPr="00095F84" w:rsidRDefault="00BF593A" w:rsidP="00C36155">
            <w:pPr>
              <w:widowControl w:val="0"/>
              <w:spacing w:after="0"/>
              <w:rPr>
                <w:rFonts w:asciiTheme="minorHAnsi" w:hAnsiTheme="minorHAnsi"/>
                <w:color w:val="auto"/>
              </w:rPr>
            </w:pPr>
            <w:r w:rsidRPr="00095F84">
              <w:rPr>
                <w:rFonts w:asciiTheme="minorHAnsi" w:hAnsiTheme="minorHAnsi"/>
                <w:b/>
                <w:i/>
                <w:color w:val="auto"/>
                <w:sz w:val="20"/>
              </w:rPr>
              <w:t>PSC</w:t>
            </w:r>
          </w:p>
        </w:tc>
        <w:tc>
          <w:tcPr>
            <w:tcW w:w="737" w:type="dxa"/>
            <w:tcBorders>
              <w:bottom w:val="single" w:sz="8" w:space="0" w:color="000000"/>
              <w:right w:val="single" w:sz="8" w:space="0" w:color="000000"/>
            </w:tcBorders>
            <w:shd w:val="clear" w:color="auto" w:fill="FFFFFF" w:themeFill="background1"/>
            <w:tcMar>
              <w:top w:w="100" w:type="dxa"/>
              <w:left w:w="100" w:type="dxa"/>
              <w:bottom w:w="100" w:type="dxa"/>
              <w:right w:w="100" w:type="dxa"/>
            </w:tcMar>
          </w:tcPr>
          <w:p w14:paraId="0FD2E2D7" w14:textId="77777777" w:rsidR="00BF593A" w:rsidRPr="00095F84" w:rsidRDefault="00BF593A" w:rsidP="00C36155">
            <w:pPr>
              <w:widowControl w:val="0"/>
              <w:spacing w:after="0"/>
              <w:rPr>
                <w:rFonts w:asciiTheme="minorHAnsi" w:hAnsiTheme="minorHAnsi"/>
                <w:color w:val="auto"/>
              </w:rPr>
            </w:pPr>
            <w:r w:rsidRPr="00095F84">
              <w:rPr>
                <w:rFonts w:asciiTheme="minorHAnsi" w:hAnsiTheme="minorHAnsi"/>
                <w:b/>
                <w:i/>
                <w:color w:val="auto"/>
                <w:sz w:val="20"/>
                <w:szCs w:val="20"/>
              </w:rPr>
              <w:t xml:space="preserve"> </w:t>
            </w:r>
          </w:p>
        </w:tc>
        <w:tc>
          <w:tcPr>
            <w:tcW w:w="724" w:type="dxa"/>
            <w:tcBorders>
              <w:bottom w:val="single" w:sz="8" w:space="0" w:color="000000"/>
              <w:right w:val="single" w:sz="8" w:space="0" w:color="000000"/>
            </w:tcBorders>
            <w:shd w:val="clear" w:color="auto" w:fill="FFFFFF" w:themeFill="background1"/>
            <w:tcMar>
              <w:top w:w="100" w:type="dxa"/>
              <w:left w:w="100" w:type="dxa"/>
              <w:bottom w:w="100" w:type="dxa"/>
              <w:right w:w="100" w:type="dxa"/>
            </w:tcMar>
          </w:tcPr>
          <w:p w14:paraId="2855043C" w14:textId="77777777" w:rsidR="00BF593A" w:rsidRPr="00095F84" w:rsidRDefault="00BF593A" w:rsidP="00C36155">
            <w:pPr>
              <w:widowControl w:val="0"/>
              <w:spacing w:after="0"/>
              <w:rPr>
                <w:rFonts w:asciiTheme="minorHAnsi" w:hAnsiTheme="minorHAnsi"/>
                <w:color w:val="auto"/>
              </w:rPr>
            </w:pPr>
            <w:r w:rsidRPr="00095F84">
              <w:rPr>
                <w:rFonts w:asciiTheme="minorHAnsi" w:hAnsiTheme="minorHAnsi"/>
                <w:b/>
                <w:i/>
                <w:color w:val="auto"/>
                <w:sz w:val="20"/>
                <w:szCs w:val="20"/>
                <w:shd w:val="clear" w:color="auto" w:fill="D5DCE4"/>
              </w:rPr>
              <w:t>QR</w:t>
            </w:r>
          </w:p>
        </w:tc>
        <w:tc>
          <w:tcPr>
            <w:tcW w:w="724" w:type="dxa"/>
            <w:tcBorders>
              <w:bottom w:val="single" w:sz="8" w:space="0" w:color="000000"/>
              <w:right w:val="single" w:sz="8" w:space="0" w:color="000000"/>
            </w:tcBorders>
            <w:shd w:val="clear" w:color="auto" w:fill="FFFFFF" w:themeFill="background1"/>
            <w:tcMar>
              <w:top w:w="100" w:type="dxa"/>
              <w:left w:w="100" w:type="dxa"/>
              <w:bottom w:w="100" w:type="dxa"/>
              <w:right w:w="100" w:type="dxa"/>
            </w:tcMar>
          </w:tcPr>
          <w:p w14:paraId="60903920" w14:textId="77777777" w:rsidR="00BF593A" w:rsidRPr="00095F84" w:rsidRDefault="00BF593A" w:rsidP="00C36155">
            <w:pPr>
              <w:widowControl w:val="0"/>
              <w:spacing w:after="0"/>
              <w:rPr>
                <w:rFonts w:asciiTheme="minorHAnsi" w:hAnsiTheme="minorHAnsi"/>
                <w:color w:val="auto"/>
                <w:sz w:val="20"/>
              </w:rPr>
            </w:pPr>
            <w:r w:rsidRPr="00095F84">
              <w:rPr>
                <w:rFonts w:asciiTheme="minorHAnsi" w:hAnsiTheme="minorHAnsi"/>
                <w:b/>
                <w:i/>
                <w:color w:val="auto"/>
                <w:sz w:val="20"/>
                <w:szCs w:val="20"/>
              </w:rPr>
              <w:t xml:space="preserve"> </w:t>
            </w:r>
            <w:r w:rsidRPr="00095F84">
              <w:rPr>
                <w:rFonts w:asciiTheme="minorHAnsi" w:hAnsiTheme="minorHAnsi"/>
                <w:b/>
                <w:i/>
                <w:color w:val="auto"/>
                <w:sz w:val="20"/>
              </w:rPr>
              <w:t>PSC</w:t>
            </w:r>
          </w:p>
        </w:tc>
        <w:tc>
          <w:tcPr>
            <w:tcW w:w="640" w:type="dxa"/>
            <w:tcBorders>
              <w:bottom w:val="single" w:sz="8" w:space="0" w:color="000000"/>
              <w:right w:val="single" w:sz="8" w:space="0" w:color="000000"/>
            </w:tcBorders>
            <w:shd w:val="clear" w:color="auto" w:fill="FFFFFF" w:themeFill="background1"/>
            <w:tcMar>
              <w:top w:w="100" w:type="dxa"/>
              <w:left w:w="100" w:type="dxa"/>
              <w:bottom w:w="100" w:type="dxa"/>
              <w:right w:w="100" w:type="dxa"/>
            </w:tcMar>
          </w:tcPr>
          <w:p w14:paraId="17EC7DD5" w14:textId="1143F644" w:rsidR="00BF593A" w:rsidRPr="00095F84" w:rsidRDefault="00BF593A" w:rsidP="00C36155">
            <w:pPr>
              <w:widowControl w:val="0"/>
              <w:spacing w:after="0"/>
              <w:rPr>
                <w:rFonts w:asciiTheme="minorHAnsi" w:hAnsiTheme="minorHAnsi"/>
                <w:color w:val="auto"/>
              </w:rPr>
            </w:pPr>
            <w:r w:rsidRPr="00095F84">
              <w:rPr>
                <w:rFonts w:asciiTheme="minorHAnsi" w:hAnsiTheme="minorHAnsi"/>
                <w:b/>
                <w:i/>
                <w:color w:val="auto"/>
                <w:sz w:val="20"/>
                <w:szCs w:val="20"/>
              </w:rPr>
              <w:t xml:space="preserve"> </w:t>
            </w:r>
            <w:r w:rsidR="00330972" w:rsidRPr="00095F84">
              <w:rPr>
                <w:rFonts w:asciiTheme="minorHAnsi" w:hAnsiTheme="minorHAnsi"/>
                <w:b/>
                <w:i/>
                <w:color w:val="auto"/>
                <w:sz w:val="20"/>
                <w:szCs w:val="20"/>
              </w:rPr>
              <w:t>AMR</w:t>
            </w:r>
          </w:p>
        </w:tc>
        <w:tc>
          <w:tcPr>
            <w:tcW w:w="1080" w:type="dxa"/>
            <w:tcBorders>
              <w:bottom w:val="single" w:sz="8" w:space="0" w:color="000000"/>
              <w:right w:val="single" w:sz="8" w:space="0" w:color="000000"/>
            </w:tcBorders>
            <w:shd w:val="clear" w:color="auto" w:fill="FFFFFF" w:themeFill="background1"/>
            <w:tcMar>
              <w:top w:w="100" w:type="dxa"/>
              <w:left w:w="100" w:type="dxa"/>
              <w:bottom w:w="100" w:type="dxa"/>
              <w:right w:w="100" w:type="dxa"/>
            </w:tcMar>
          </w:tcPr>
          <w:p w14:paraId="66A41BDC" w14:textId="77777777" w:rsidR="00BF593A" w:rsidRPr="00095F84" w:rsidRDefault="00BF593A" w:rsidP="00C36155">
            <w:pPr>
              <w:widowControl w:val="0"/>
              <w:spacing w:after="0"/>
              <w:rPr>
                <w:rFonts w:asciiTheme="minorHAnsi" w:hAnsiTheme="minorHAnsi"/>
                <w:color w:val="auto"/>
              </w:rPr>
            </w:pPr>
            <w:r w:rsidRPr="00095F84">
              <w:rPr>
                <w:rFonts w:asciiTheme="minorHAnsi" w:hAnsiTheme="minorHAnsi"/>
                <w:b/>
                <w:i/>
                <w:color w:val="auto"/>
                <w:sz w:val="20"/>
                <w:szCs w:val="20"/>
                <w:shd w:val="clear" w:color="auto" w:fill="D5DCE4"/>
              </w:rPr>
              <w:t>QR/PPR/ DAWP/</w:t>
            </w:r>
            <w:r w:rsidRPr="00095F84">
              <w:rPr>
                <w:rFonts w:asciiTheme="minorHAnsi" w:hAnsiTheme="minorHAnsi"/>
                <w:b/>
                <w:i/>
                <w:color w:val="auto"/>
                <w:sz w:val="20"/>
                <w:szCs w:val="20"/>
              </w:rPr>
              <w:t xml:space="preserve"> PIR</w:t>
            </w:r>
          </w:p>
        </w:tc>
      </w:tr>
      <w:tr w:rsidR="00C36155" w:rsidRPr="00BF14EB" w14:paraId="53C05F1A" w14:textId="77777777" w:rsidTr="00095F84">
        <w:trPr>
          <w:trHeight w:val="382"/>
        </w:trPr>
        <w:tc>
          <w:tcPr>
            <w:tcW w:w="1070" w:type="dxa"/>
            <w:tcBorders>
              <w:top w:val="single" w:sz="8" w:space="0" w:color="000000"/>
              <w:left w:val="single" w:sz="8" w:space="0" w:color="000000"/>
              <w:bottom w:val="single" w:sz="4" w:space="0" w:color="auto"/>
              <w:right w:val="single" w:sz="8" w:space="0" w:color="000000"/>
            </w:tcBorders>
            <w:shd w:val="clear" w:color="auto" w:fill="D9D9D9"/>
            <w:tcMar>
              <w:top w:w="100" w:type="dxa"/>
              <w:left w:w="100" w:type="dxa"/>
              <w:bottom w:w="100" w:type="dxa"/>
              <w:right w:w="100" w:type="dxa"/>
            </w:tcMar>
          </w:tcPr>
          <w:p w14:paraId="2D40D7A2" w14:textId="7654941C" w:rsidR="00BF593A" w:rsidRPr="00095F84" w:rsidRDefault="00BF593A" w:rsidP="00C36155">
            <w:pPr>
              <w:widowControl w:val="0"/>
              <w:spacing w:after="0"/>
              <w:rPr>
                <w:rFonts w:asciiTheme="minorHAnsi" w:hAnsiTheme="minorHAnsi"/>
                <w:color w:val="auto"/>
              </w:rPr>
            </w:pPr>
            <w:r w:rsidRPr="00095F84">
              <w:rPr>
                <w:rFonts w:asciiTheme="minorHAnsi" w:hAnsiTheme="minorHAnsi"/>
                <w:b/>
                <w:i/>
                <w:color w:val="auto"/>
                <w:sz w:val="20"/>
                <w:szCs w:val="20"/>
                <w:shd w:val="clear" w:color="auto" w:fill="D9D9D9"/>
              </w:rPr>
              <w:t xml:space="preserve">Project </w:t>
            </w:r>
            <w:r w:rsidR="004B4980" w:rsidRPr="00095F84">
              <w:rPr>
                <w:rFonts w:asciiTheme="minorHAnsi" w:hAnsiTheme="minorHAnsi"/>
                <w:b/>
                <w:i/>
                <w:color w:val="auto"/>
                <w:sz w:val="20"/>
                <w:szCs w:val="20"/>
                <w:shd w:val="clear" w:color="auto" w:fill="D9D9D9"/>
              </w:rPr>
              <w:t>Y5</w:t>
            </w:r>
          </w:p>
        </w:tc>
        <w:tc>
          <w:tcPr>
            <w:tcW w:w="803" w:type="dxa"/>
            <w:tcBorders>
              <w:top w:val="single" w:sz="8" w:space="0" w:color="000000"/>
              <w:bottom w:val="single" w:sz="4" w:space="0" w:color="auto"/>
              <w:right w:val="single" w:sz="8" w:space="0" w:color="000000"/>
            </w:tcBorders>
            <w:shd w:val="clear" w:color="auto" w:fill="FFFFFF" w:themeFill="background1"/>
            <w:tcMar>
              <w:top w:w="100" w:type="dxa"/>
              <w:left w:w="100" w:type="dxa"/>
              <w:bottom w:w="100" w:type="dxa"/>
              <w:right w:w="100" w:type="dxa"/>
            </w:tcMar>
          </w:tcPr>
          <w:p w14:paraId="2B9D2105" w14:textId="77777777" w:rsidR="00BF593A" w:rsidRPr="00095F84" w:rsidRDefault="00BF593A" w:rsidP="00C36155">
            <w:pPr>
              <w:widowControl w:val="0"/>
              <w:spacing w:after="0"/>
              <w:rPr>
                <w:rFonts w:asciiTheme="minorHAnsi" w:hAnsiTheme="minorHAnsi"/>
                <w:color w:val="auto"/>
              </w:rPr>
            </w:pPr>
            <w:r w:rsidRPr="00095F84">
              <w:rPr>
                <w:rFonts w:asciiTheme="minorHAnsi" w:hAnsiTheme="minorHAnsi"/>
                <w:b/>
                <w:i/>
                <w:color w:val="auto"/>
                <w:sz w:val="20"/>
                <w:szCs w:val="20"/>
                <w:shd w:val="clear" w:color="auto" w:fill="D5DCE4"/>
              </w:rPr>
              <w:t>TR</w:t>
            </w:r>
          </w:p>
        </w:tc>
        <w:tc>
          <w:tcPr>
            <w:tcW w:w="713" w:type="dxa"/>
            <w:tcBorders>
              <w:top w:val="single" w:sz="8" w:space="0" w:color="000000"/>
              <w:bottom w:val="single" w:sz="4" w:space="0" w:color="auto"/>
              <w:right w:val="single" w:sz="8" w:space="0" w:color="000000"/>
            </w:tcBorders>
            <w:shd w:val="clear" w:color="auto" w:fill="FFFFFF" w:themeFill="background1"/>
            <w:tcMar>
              <w:top w:w="100" w:type="dxa"/>
              <w:left w:w="100" w:type="dxa"/>
              <w:bottom w:w="100" w:type="dxa"/>
              <w:right w:w="100" w:type="dxa"/>
            </w:tcMar>
          </w:tcPr>
          <w:p w14:paraId="46087503" w14:textId="77777777" w:rsidR="00BF593A" w:rsidRPr="00095F84" w:rsidRDefault="00BF593A" w:rsidP="00C36155">
            <w:pPr>
              <w:widowControl w:val="0"/>
              <w:spacing w:after="0"/>
              <w:rPr>
                <w:rFonts w:asciiTheme="minorHAnsi" w:hAnsiTheme="minorHAnsi"/>
                <w:color w:val="auto"/>
              </w:rPr>
            </w:pPr>
            <w:r w:rsidRPr="00095F84">
              <w:rPr>
                <w:rFonts w:asciiTheme="minorHAnsi" w:hAnsiTheme="minorHAnsi"/>
                <w:b/>
                <w:i/>
                <w:color w:val="auto"/>
                <w:sz w:val="20"/>
                <w:szCs w:val="20"/>
                <w:shd w:val="clear" w:color="auto" w:fill="D5DCE4"/>
              </w:rPr>
              <w:t>TR</w:t>
            </w:r>
          </w:p>
        </w:tc>
        <w:tc>
          <w:tcPr>
            <w:tcW w:w="749" w:type="dxa"/>
            <w:tcBorders>
              <w:top w:val="single" w:sz="8" w:space="0" w:color="000000"/>
              <w:bottom w:val="single" w:sz="4" w:space="0" w:color="auto"/>
              <w:right w:val="single" w:sz="8" w:space="0" w:color="000000"/>
            </w:tcBorders>
            <w:shd w:val="clear" w:color="auto" w:fill="FFFFFF" w:themeFill="background1"/>
            <w:tcMar>
              <w:top w:w="100" w:type="dxa"/>
              <w:left w:w="100" w:type="dxa"/>
              <w:bottom w:w="100" w:type="dxa"/>
              <w:right w:w="100" w:type="dxa"/>
            </w:tcMar>
          </w:tcPr>
          <w:p w14:paraId="4D7DD6C5" w14:textId="36F83EDD" w:rsidR="00BF593A" w:rsidRPr="00095F84" w:rsidRDefault="00BF593A" w:rsidP="00C36155">
            <w:pPr>
              <w:widowControl w:val="0"/>
              <w:spacing w:after="0"/>
              <w:rPr>
                <w:rFonts w:asciiTheme="minorHAnsi" w:hAnsiTheme="minorHAnsi"/>
                <w:color w:val="auto"/>
              </w:rPr>
            </w:pPr>
            <w:r w:rsidRPr="00095F84">
              <w:rPr>
                <w:rFonts w:asciiTheme="minorHAnsi" w:hAnsiTheme="minorHAnsi"/>
                <w:b/>
                <w:i/>
                <w:color w:val="auto"/>
                <w:sz w:val="20"/>
                <w:szCs w:val="20"/>
                <w:shd w:val="clear" w:color="auto" w:fill="D5DCE4"/>
              </w:rPr>
              <w:t>TR/G</w:t>
            </w:r>
            <w:r w:rsidR="004110C2" w:rsidRPr="00095F84">
              <w:rPr>
                <w:rFonts w:asciiTheme="minorHAnsi" w:hAnsiTheme="minorHAnsi"/>
                <w:b/>
                <w:i/>
                <w:color w:val="auto"/>
                <w:sz w:val="20"/>
                <w:szCs w:val="20"/>
                <w:shd w:val="clear" w:color="auto" w:fill="D5DCE4"/>
              </w:rPr>
              <w:t>CI</w:t>
            </w:r>
          </w:p>
        </w:tc>
        <w:tc>
          <w:tcPr>
            <w:tcW w:w="683" w:type="dxa"/>
            <w:tcBorders>
              <w:top w:val="single" w:sz="8" w:space="0" w:color="000000"/>
              <w:bottom w:val="single" w:sz="4" w:space="0" w:color="auto"/>
              <w:right w:val="single" w:sz="8" w:space="0" w:color="000000"/>
            </w:tcBorders>
            <w:shd w:val="clear" w:color="auto" w:fill="FFFFFF" w:themeFill="background1"/>
            <w:tcMar>
              <w:top w:w="100" w:type="dxa"/>
              <w:left w:w="100" w:type="dxa"/>
              <w:bottom w:w="100" w:type="dxa"/>
              <w:right w:w="100" w:type="dxa"/>
            </w:tcMar>
          </w:tcPr>
          <w:p w14:paraId="6FA525DF" w14:textId="77777777" w:rsidR="00BF593A" w:rsidRPr="00095F84" w:rsidRDefault="00BF593A" w:rsidP="00C36155">
            <w:pPr>
              <w:widowControl w:val="0"/>
              <w:spacing w:after="0"/>
              <w:rPr>
                <w:rFonts w:asciiTheme="minorHAnsi" w:hAnsiTheme="minorHAnsi"/>
                <w:color w:val="auto"/>
              </w:rPr>
            </w:pPr>
            <w:r w:rsidRPr="00095F84">
              <w:rPr>
                <w:rFonts w:asciiTheme="minorHAnsi" w:hAnsiTheme="minorHAnsi"/>
                <w:b/>
                <w:i/>
                <w:color w:val="auto"/>
                <w:sz w:val="20"/>
                <w:szCs w:val="20"/>
                <w:shd w:val="clear" w:color="auto" w:fill="D5DCE4"/>
              </w:rPr>
              <w:t>ATR</w:t>
            </w:r>
          </w:p>
        </w:tc>
        <w:tc>
          <w:tcPr>
            <w:tcW w:w="620" w:type="dxa"/>
            <w:tcBorders>
              <w:top w:val="single" w:sz="8" w:space="0" w:color="000000"/>
              <w:bottom w:val="single" w:sz="4" w:space="0" w:color="auto"/>
              <w:right w:val="single" w:sz="8" w:space="0" w:color="000000"/>
            </w:tcBorders>
            <w:shd w:val="clear" w:color="auto" w:fill="FFFFFF" w:themeFill="background1"/>
            <w:tcMar>
              <w:top w:w="100" w:type="dxa"/>
              <w:left w:w="100" w:type="dxa"/>
              <w:bottom w:w="100" w:type="dxa"/>
              <w:right w:w="100" w:type="dxa"/>
            </w:tcMar>
          </w:tcPr>
          <w:p w14:paraId="2DAAC1D7" w14:textId="77777777" w:rsidR="00BF593A" w:rsidRPr="00095F84" w:rsidRDefault="00BF593A" w:rsidP="00C36155">
            <w:pPr>
              <w:widowControl w:val="0"/>
              <w:spacing w:after="0"/>
              <w:rPr>
                <w:rFonts w:asciiTheme="minorHAnsi" w:hAnsiTheme="minorHAnsi"/>
                <w:color w:val="auto"/>
              </w:rPr>
            </w:pPr>
            <w:r w:rsidRPr="00095F84">
              <w:rPr>
                <w:rFonts w:asciiTheme="minorHAnsi" w:hAnsiTheme="minorHAnsi"/>
                <w:b/>
                <w:i/>
                <w:color w:val="auto"/>
                <w:sz w:val="20"/>
                <w:szCs w:val="20"/>
                <w:shd w:val="clear" w:color="auto" w:fill="D5DCE4"/>
              </w:rPr>
              <w:t xml:space="preserve"> </w:t>
            </w:r>
          </w:p>
        </w:tc>
        <w:tc>
          <w:tcPr>
            <w:tcW w:w="784" w:type="dxa"/>
            <w:tcBorders>
              <w:top w:val="single" w:sz="8" w:space="0" w:color="000000"/>
              <w:bottom w:val="single" w:sz="4" w:space="0" w:color="auto"/>
              <w:right w:val="single" w:sz="8" w:space="0" w:color="000000"/>
            </w:tcBorders>
            <w:shd w:val="clear" w:color="auto" w:fill="FFFFFF" w:themeFill="background1"/>
            <w:tcMar>
              <w:top w:w="100" w:type="dxa"/>
              <w:left w:w="100" w:type="dxa"/>
              <w:bottom w:w="100" w:type="dxa"/>
              <w:right w:w="100" w:type="dxa"/>
            </w:tcMar>
          </w:tcPr>
          <w:p w14:paraId="0ADB2941" w14:textId="77777777" w:rsidR="00BF593A" w:rsidRPr="00095F84" w:rsidRDefault="00BF593A" w:rsidP="00C36155">
            <w:pPr>
              <w:widowControl w:val="0"/>
              <w:spacing w:after="0"/>
              <w:rPr>
                <w:rFonts w:asciiTheme="minorHAnsi" w:hAnsiTheme="minorHAnsi"/>
                <w:color w:val="auto"/>
              </w:rPr>
            </w:pPr>
            <w:r w:rsidRPr="00095F84">
              <w:rPr>
                <w:rFonts w:asciiTheme="minorHAnsi" w:hAnsiTheme="minorHAnsi"/>
                <w:b/>
                <w:i/>
                <w:color w:val="auto"/>
                <w:sz w:val="20"/>
                <w:szCs w:val="20"/>
                <w:shd w:val="clear" w:color="auto" w:fill="D5DCE4"/>
              </w:rPr>
              <w:t>TE</w:t>
            </w:r>
          </w:p>
        </w:tc>
        <w:tc>
          <w:tcPr>
            <w:tcW w:w="653" w:type="dxa"/>
            <w:tcBorders>
              <w:top w:val="single" w:sz="8" w:space="0" w:color="000000"/>
              <w:bottom w:val="single" w:sz="4" w:space="0" w:color="auto"/>
              <w:right w:val="single" w:sz="8" w:space="0" w:color="000000"/>
            </w:tcBorders>
            <w:shd w:val="clear" w:color="auto" w:fill="FFFFFF" w:themeFill="background1"/>
            <w:tcMar>
              <w:top w:w="100" w:type="dxa"/>
              <w:left w:w="100" w:type="dxa"/>
              <w:bottom w:w="100" w:type="dxa"/>
              <w:right w:w="100" w:type="dxa"/>
            </w:tcMar>
          </w:tcPr>
          <w:p w14:paraId="14CA556B" w14:textId="77777777" w:rsidR="00BF593A" w:rsidRPr="00095F84" w:rsidRDefault="00BF593A" w:rsidP="00C36155">
            <w:pPr>
              <w:widowControl w:val="0"/>
              <w:spacing w:after="0"/>
              <w:rPr>
                <w:rFonts w:asciiTheme="minorHAnsi" w:hAnsiTheme="minorHAnsi"/>
                <w:color w:val="auto"/>
              </w:rPr>
            </w:pPr>
            <w:r w:rsidRPr="00095F84">
              <w:rPr>
                <w:rFonts w:asciiTheme="minorHAnsi" w:hAnsiTheme="minorHAnsi"/>
                <w:b/>
                <w:i/>
                <w:color w:val="auto"/>
                <w:sz w:val="20"/>
                <w:szCs w:val="20"/>
                <w:shd w:val="clear" w:color="auto" w:fill="D5DCE4"/>
              </w:rPr>
              <w:t>TE</w:t>
            </w:r>
          </w:p>
        </w:tc>
        <w:tc>
          <w:tcPr>
            <w:tcW w:w="737" w:type="dxa"/>
            <w:tcBorders>
              <w:top w:val="single" w:sz="8" w:space="0" w:color="000000"/>
              <w:bottom w:val="single" w:sz="4" w:space="0" w:color="auto"/>
              <w:right w:val="single" w:sz="8" w:space="0" w:color="000000"/>
            </w:tcBorders>
            <w:shd w:val="clear" w:color="auto" w:fill="FFFFFF" w:themeFill="background1"/>
            <w:tcMar>
              <w:top w:w="100" w:type="dxa"/>
              <w:left w:w="100" w:type="dxa"/>
              <w:bottom w:w="100" w:type="dxa"/>
              <w:right w:w="100" w:type="dxa"/>
            </w:tcMar>
          </w:tcPr>
          <w:p w14:paraId="313BA331" w14:textId="77777777" w:rsidR="00BF593A" w:rsidRPr="00095F84" w:rsidRDefault="00BF593A" w:rsidP="00C36155">
            <w:pPr>
              <w:widowControl w:val="0"/>
              <w:spacing w:after="0"/>
              <w:rPr>
                <w:rFonts w:asciiTheme="minorHAnsi" w:hAnsiTheme="minorHAnsi"/>
                <w:color w:val="auto"/>
              </w:rPr>
            </w:pPr>
            <w:r w:rsidRPr="00095F84">
              <w:rPr>
                <w:rFonts w:asciiTheme="minorHAnsi" w:hAnsiTheme="minorHAnsi"/>
                <w:b/>
                <w:i/>
                <w:color w:val="auto"/>
                <w:sz w:val="20"/>
                <w:szCs w:val="20"/>
                <w:shd w:val="clear" w:color="auto" w:fill="D5DCE4"/>
              </w:rPr>
              <w:t>TE</w:t>
            </w:r>
          </w:p>
        </w:tc>
        <w:tc>
          <w:tcPr>
            <w:tcW w:w="724" w:type="dxa"/>
            <w:tcBorders>
              <w:top w:val="single" w:sz="8" w:space="0" w:color="000000"/>
              <w:bottom w:val="single" w:sz="4" w:space="0" w:color="auto"/>
              <w:right w:val="single" w:sz="8" w:space="0" w:color="000000"/>
            </w:tcBorders>
            <w:shd w:val="clear" w:color="auto" w:fill="FFFFFF" w:themeFill="background1"/>
            <w:tcMar>
              <w:top w:w="100" w:type="dxa"/>
              <w:left w:w="100" w:type="dxa"/>
              <w:bottom w:w="100" w:type="dxa"/>
              <w:right w:w="100" w:type="dxa"/>
            </w:tcMar>
          </w:tcPr>
          <w:p w14:paraId="57F066EA" w14:textId="77777777" w:rsidR="00BF593A" w:rsidRPr="00095F84" w:rsidRDefault="00BF593A" w:rsidP="00C36155">
            <w:pPr>
              <w:widowControl w:val="0"/>
              <w:spacing w:after="0"/>
              <w:rPr>
                <w:rFonts w:asciiTheme="minorHAnsi" w:hAnsiTheme="minorHAnsi"/>
                <w:color w:val="auto"/>
              </w:rPr>
            </w:pPr>
            <w:r w:rsidRPr="00095F84">
              <w:rPr>
                <w:rFonts w:asciiTheme="minorHAnsi" w:hAnsiTheme="minorHAnsi"/>
                <w:b/>
                <w:i/>
                <w:color w:val="auto"/>
                <w:sz w:val="20"/>
                <w:szCs w:val="20"/>
                <w:shd w:val="clear" w:color="auto" w:fill="D5DCE4"/>
              </w:rPr>
              <w:t>TE</w:t>
            </w:r>
          </w:p>
        </w:tc>
        <w:tc>
          <w:tcPr>
            <w:tcW w:w="724" w:type="dxa"/>
            <w:tcBorders>
              <w:top w:val="single" w:sz="8" w:space="0" w:color="000000"/>
              <w:bottom w:val="single" w:sz="4" w:space="0" w:color="auto"/>
              <w:right w:val="single" w:sz="8" w:space="0" w:color="000000"/>
            </w:tcBorders>
            <w:shd w:val="clear" w:color="auto" w:fill="FFFFFF" w:themeFill="background1"/>
            <w:tcMar>
              <w:top w:w="100" w:type="dxa"/>
              <w:left w:w="100" w:type="dxa"/>
              <w:bottom w:w="100" w:type="dxa"/>
              <w:right w:w="100" w:type="dxa"/>
            </w:tcMar>
          </w:tcPr>
          <w:p w14:paraId="3CA9103A" w14:textId="77777777" w:rsidR="00BF593A" w:rsidRPr="00095F84" w:rsidRDefault="00BF593A" w:rsidP="00C36155">
            <w:pPr>
              <w:widowControl w:val="0"/>
              <w:spacing w:after="0"/>
              <w:rPr>
                <w:rFonts w:asciiTheme="minorHAnsi" w:hAnsiTheme="minorHAnsi"/>
                <w:color w:val="auto"/>
              </w:rPr>
            </w:pPr>
            <w:r w:rsidRPr="00095F84">
              <w:rPr>
                <w:rFonts w:asciiTheme="minorHAnsi" w:hAnsiTheme="minorHAnsi"/>
                <w:b/>
                <w:i/>
                <w:color w:val="auto"/>
                <w:sz w:val="20"/>
                <w:szCs w:val="20"/>
              </w:rPr>
              <w:t xml:space="preserve"> </w:t>
            </w:r>
          </w:p>
        </w:tc>
        <w:tc>
          <w:tcPr>
            <w:tcW w:w="640" w:type="dxa"/>
            <w:tcBorders>
              <w:top w:val="single" w:sz="8" w:space="0" w:color="000000"/>
              <w:bottom w:val="single" w:sz="4" w:space="0" w:color="auto"/>
              <w:right w:val="single" w:sz="8" w:space="0" w:color="000000"/>
            </w:tcBorders>
            <w:shd w:val="clear" w:color="auto" w:fill="FFFFFF" w:themeFill="background1"/>
            <w:tcMar>
              <w:top w:w="100" w:type="dxa"/>
              <w:left w:w="100" w:type="dxa"/>
              <w:bottom w:w="100" w:type="dxa"/>
              <w:right w:w="100" w:type="dxa"/>
            </w:tcMar>
          </w:tcPr>
          <w:p w14:paraId="3CE04628" w14:textId="77777777" w:rsidR="00BF593A" w:rsidRPr="00095F84" w:rsidRDefault="00BF593A" w:rsidP="00C36155">
            <w:pPr>
              <w:widowControl w:val="0"/>
              <w:spacing w:after="0"/>
              <w:rPr>
                <w:rFonts w:asciiTheme="minorHAnsi" w:hAnsiTheme="minorHAnsi"/>
                <w:color w:val="auto"/>
              </w:rPr>
            </w:pPr>
            <w:r w:rsidRPr="00095F84">
              <w:rPr>
                <w:rFonts w:asciiTheme="minorHAnsi" w:hAnsiTheme="minorHAnsi"/>
                <w:b/>
                <w:i/>
                <w:color w:val="auto"/>
                <w:sz w:val="20"/>
                <w:szCs w:val="20"/>
              </w:rPr>
              <w:t xml:space="preserve"> </w:t>
            </w:r>
          </w:p>
        </w:tc>
        <w:tc>
          <w:tcPr>
            <w:tcW w:w="1080" w:type="dxa"/>
            <w:tcBorders>
              <w:top w:val="single" w:sz="8" w:space="0" w:color="000000"/>
              <w:bottom w:val="single" w:sz="4" w:space="0" w:color="auto"/>
              <w:right w:val="single" w:sz="8" w:space="0" w:color="000000"/>
            </w:tcBorders>
            <w:shd w:val="clear" w:color="auto" w:fill="FFFFFF" w:themeFill="background1"/>
            <w:tcMar>
              <w:top w:w="100" w:type="dxa"/>
              <w:left w:w="100" w:type="dxa"/>
              <w:bottom w:w="100" w:type="dxa"/>
              <w:right w:w="100" w:type="dxa"/>
            </w:tcMar>
          </w:tcPr>
          <w:p w14:paraId="02F03225" w14:textId="77777777" w:rsidR="00BF593A" w:rsidRPr="00095F84" w:rsidRDefault="00BF593A" w:rsidP="00C36155">
            <w:pPr>
              <w:widowControl w:val="0"/>
              <w:spacing w:after="0"/>
              <w:rPr>
                <w:rFonts w:asciiTheme="minorHAnsi" w:hAnsiTheme="minorHAnsi"/>
                <w:color w:val="auto"/>
              </w:rPr>
            </w:pPr>
            <w:r w:rsidRPr="00095F84">
              <w:rPr>
                <w:rFonts w:asciiTheme="minorHAnsi" w:hAnsiTheme="minorHAnsi"/>
                <w:b/>
                <w:i/>
                <w:color w:val="auto"/>
                <w:sz w:val="20"/>
                <w:szCs w:val="20"/>
              </w:rPr>
              <w:t xml:space="preserve"> </w:t>
            </w:r>
          </w:p>
        </w:tc>
      </w:tr>
      <w:tr w:rsidR="00C36155" w:rsidRPr="00BF14EB" w14:paraId="4052DC3E" w14:textId="77777777" w:rsidTr="00095F84">
        <w:trPr>
          <w:trHeight w:val="2417"/>
        </w:trPr>
        <w:tc>
          <w:tcPr>
            <w:tcW w:w="5422" w:type="dxa"/>
            <w:gridSpan w:val="7"/>
            <w:tcBorders>
              <w:top w:val="single" w:sz="4" w:space="0" w:color="auto"/>
              <w:left w:val="single" w:sz="8" w:space="0" w:color="000000"/>
              <w:bottom w:val="single" w:sz="4" w:space="0" w:color="auto"/>
              <w:right w:val="single" w:sz="8" w:space="0" w:color="000000"/>
            </w:tcBorders>
            <w:shd w:val="clear" w:color="auto" w:fill="auto"/>
            <w:tcMar>
              <w:top w:w="100" w:type="dxa"/>
              <w:left w:w="100" w:type="dxa"/>
              <w:bottom w:w="100" w:type="dxa"/>
              <w:right w:w="100" w:type="dxa"/>
            </w:tcMar>
          </w:tcPr>
          <w:p w14:paraId="03770400" w14:textId="77777777" w:rsidR="00C36155" w:rsidRPr="00C36155" w:rsidRDefault="00C36155" w:rsidP="00C36155">
            <w:pPr>
              <w:spacing w:after="0" w:line="240" w:lineRule="auto"/>
              <w:jc w:val="both"/>
              <w:rPr>
                <w:rFonts w:asciiTheme="minorHAnsi" w:hAnsiTheme="minorHAnsi"/>
              </w:rPr>
            </w:pPr>
            <w:r w:rsidRPr="00C36155">
              <w:rPr>
                <w:rFonts w:asciiTheme="minorHAnsi" w:hAnsiTheme="minorHAnsi"/>
                <w:b/>
              </w:rPr>
              <w:t>AAWP</w:t>
            </w:r>
            <w:r w:rsidRPr="00C36155">
              <w:rPr>
                <w:rFonts w:asciiTheme="minorHAnsi" w:hAnsiTheme="minorHAnsi"/>
              </w:rPr>
              <w:t xml:space="preserve"> – Approval of the Annual Work Plan by PSC</w:t>
            </w:r>
          </w:p>
          <w:p w14:paraId="07E12262" w14:textId="77777777" w:rsidR="00C36155" w:rsidRPr="00C36155" w:rsidRDefault="00C36155" w:rsidP="00C36155">
            <w:pPr>
              <w:spacing w:after="0" w:line="240" w:lineRule="auto"/>
              <w:jc w:val="both"/>
              <w:rPr>
                <w:rFonts w:asciiTheme="minorHAnsi" w:eastAsia="Arial" w:hAnsiTheme="minorHAnsi" w:cs="Arial"/>
              </w:rPr>
            </w:pPr>
            <w:r w:rsidRPr="00C36155">
              <w:rPr>
                <w:rFonts w:asciiTheme="minorHAnsi" w:hAnsiTheme="minorHAnsi"/>
                <w:b/>
              </w:rPr>
              <w:t>PSC</w:t>
            </w:r>
            <w:r w:rsidRPr="00C36155">
              <w:rPr>
                <w:rFonts w:asciiTheme="minorHAnsi" w:hAnsiTheme="minorHAnsi"/>
              </w:rPr>
              <w:t xml:space="preserve"> – Quarterly Project Steering Committee Meeting</w:t>
            </w:r>
          </w:p>
          <w:p w14:paraId="62F0CDC9" w14:textId="77777777" w:rsidR="00C36155" w:rsidRPr="00C36155" w:rsidRDefault="00C36155" w:rsidP="00C36155">
            <w:pPr>
              <w:spacing w:after="0" w:line="240" w:lineRule="auto"/>
              <w:jc w:val="both"/>
              <w:rPr>
                <w:rFonts w:asciiTheme="minorHAnsi" w:eastAsia="Arial" w:hAnsiTheme="minorHAnsi" w:cs="Arial"/>
              </w:rPr>
            </w:pPr>
            <w:r w:rsidRPr="00C36155">
              <w:rPr>
                <w:rFonts w:asciiTheme="minorHAnsi" w:hAnsiTheme="minorHAnsi"/>
                <w:b/>
              </w:rPr>
              <w:t>QR</w:t>
            </w:r>
            <w:r w:rsidRPr="00C36155">
              <w:rPr>
                <w:rFonts w:asciiTheme="minorHAnsi" w:hAnsiTheme="minorHAnsi"/>
              </w:rPr>
              <w:t xml:space="preserve"> – Quarterly Project Report</w:t>
            </w:r>
          </w:p>
          <w:p w14:paraId="4B137D19" w14:textId="77777777" w:rsidR="00C36155" w:rsidRPr="00C36155" w:rsidRDefault="00C36155" w:rsidP="00C36155">
            <w:pPr>
              <w:spacing w:after="0" w:line="240" w:lineRule="auto"/>
              <w:jc w:val="both"/>
              <w:rPr>
                <w:rFonts w:asciiTheme="minorHAnsi" w:eastAsia="Arial" w:hAnsiTheme="minorHAnsi" w:cs="Arial"/>
              </w:rPr>
            </w:pPr>
            <w:r w:rsidRPr="00C36155">
              <w:rPr>
                <w:rFonts w:asciiTheme="minorHAnsi" w:hAnsiTheme="minorHAnsi"/>
                <w:b/>
              </w:rPr>
              <w:t>PPR</w:t>
            </w:r>
            <w:r w:rsidRPr="00C36155">
              <w:rPr>
                <w:rFonts w:asciiTheme="minorHAnsi" w:hAnsiTheme="minorHAnsi"/>
              </w:rPr>
              <w:t xml:space="preserve"> – Six-month and Annual WWF Project Progress Report </w:t>
            </w:r>
          </w:p>
          <w:p w14:paraId="45B30332" w14:textId="77777777" w:rsidR="00C36155" w:rsidRPr="00C36155" w:rsidRDefault="00C36155" w:rsidP="00C36155">
            <w:pPr>
              <w:spacing w:after="0" w:line="240" w:lineRule="auto"/>
              <w:jc w:val="both"/>
              <w:rPr>
                <w:rFonts w:asciiTheme="minorHAnsi" w:hAnsiTheme="minorHAnsi"/>
              </w:rPr>
            </w:pPr>
            <w:r w:rsidRPr="00C36155">
              <w:rPr>
                <w:rFonts w:asciiTheme="minorHAnsi" w:hAnsiTheme="minorHAnsi"/>
                <w:b/>
              </w:rPr>
              <w:t>ATPR</w:t>
            </w:r>
            <w:r w:rsidRPr="00C36155">
              <w:rPr>
                <w:rFonts w:asciiTheme="minorHAnsi" w:hAnsiTheme="minorHAnsi"/>
              </w:rPr>
              <w:t xml:space="preserve"> – Approval of Annual WWF Project Progress Report by PSC</w:t>
            </w:r>
          </w:p>
          <w:p w14:paraId="7F8E6A34" w14:textId="77777777" w:rsidR="00C36155" w:rsidRPr="00C36155" w:rsidRDefault="00C36155" w:rsidP="00C36155">
            <w:pPr>
              <w:spacing w:after="0" w:line="240" w:lineRule="auto"/>
              <w:jc w:val="both"/>
              <w:rPr>
                <w:rFonts w:asciiTheme="minorHAnsi" w:eastAsia="Arial" w:hAnsiTheme="minorHAnsi" w:cs="Arial"/>
              </w:rPr>
            </w:pPr>
            <w:r w:rsidRPr="00C36155">
              <w:rPr>
                <w:rFonts w:asciiTheme="minorHAnsi" w:hAnsiTheme="minorHAnsi"/>
                <w:b/>
              </w:rPr>
              <w:t>PIR</w:t>
            </w:r>
            <w:r w:rsidRPr="00C36155">
              <w:rPr>
                <w:rFonts w:asciiTheme="minorHAnsi" w:hAnsiTheme="minorHAnsi"/>
              </w:rPr>
              <w:t xml:space="preserve"> – Annual WWF-GEF Project Implementation Report to GEF Secretariat</w:t>
            </w:r>
          </w:p>
          <w:p w14:paraId="74AD890E" w14:textId="69C1F8CE" w:rsidR="00C36155" w:rsidRPr="00C36155" w:rsidRDefault="00C36155" w:rsidP="00C36155">
            <w:pPr>
              <w:spacing w:after="0" w:line="240" w:lineRule="auto"/>
              <w:jc w:val="both"/>
              <w:rPr>
                <w:rFonts w:ascii="Arial" w:eastAsia="Arial" w:hAnsi="Arial" w:cs="Arial"/>
              </w:rPr>
            </w:pPr>
            <w:r w:rsidRPr="00C36155">
              <w:rPr>
                <w:rFonts w:asciiTheme="minorHAnsi" w:hAnsiTheme="minorHAnsi"/>
                <w:b/>
              </w:rPr>
              <w:t>MTR</w:t>
            </w:r>
            <w:r w:rsidRPr="00C36155">
              <w:rPr>
                <w:rFonts w:asciiTheme="minorHAnsi" w:hAnsiTheme="minorHAnsi"/>
              </w:rPr>
              <w:t xml:space="preserve"> – Mid-Term Evaluation Report</w:t>
            </w:r>
          </w:p>
        </w:tc>
        <w:tc>
          <w:tcPr>
            <w:tcW w:w="4558" w:type="dxa"/>
            <w:gridSpan w:val="6"/>
            <w:tcBorders>
              <w:top w:val="single" w:sz="4" w:space="0" w:color="auto"/>
              <w:bottom w:val="single" w:sz="4" w:space="0" w:color="auto"/>
              <w:right w:val="single" w:sz="8" w:space="0" w:color="000000"/>
            </w:tcBorders>
            <w:shd w:val="clear" w:color="auto" w:fill="auto"/>
            <w:tcMar>
              <w:top w:w="100" w:type="dxa"/>
              <w:left w:w="100" w:type="dxa"/>
              <w:bottom w:w="100" w:type="dxa"/>
              <w:right w:w="100" w:type="dxa"/>
            </w:tcMar>
          </w:tcPr>
          <w:p w14:paraId="53681008" w14:textId="77777777" w:rsidR="00C36155" w:rsidRPr="00095F84" w:rsidRDefault="00C36155" w:rsidP="00C36155">
            <w:pPr>
              <w:spacing w:after="0" w:line="240" w:lineRule="auto"/>
              <w:jc w:val="both"/>
              <w:rPr>
                <w:rFonts w:asciiTheme="minorHAnsi" w:hAnsiTheme="minorHAnsi"/>
              </w:rPr>
            </w:pPr>
            <w:r w:rsidRPr="00095F84">
              <w:rPr>
                <w:rFonts w:asciiTheme="minorHAnsi" w:hAnsiTheme="minorHAnsi"/>
                <w:b/>
              </w:rPr>
              <w:t>TT</w:t>
            </w:r>
            <w:r w:rsidRPr="00095F84">
              <w:rPr>
                <w:rFonts w:asciiTheme="minorHAnsi" w:hAnsiTheme="minorHAnsi"/>
              </w:rPr>
              <w:t xml:space="preserve"> – GEF Tracking Tool Report</w:t>
            </w:r>
          </w:p>
          <w:p w14:paraId="5A3BDCBE" w14:textId="77777777" w:rsidR="00C36155" w:rsidRPr="00095F84" w:rsidRDefault="00C36155" w:rsidP="00C36155">
            <w:pPr>
              <w:spacing w:after="0" w:line="240" w:lineRule="auto"/>
              <w:jc w:val="both"/>
              <w:rPr>
                <w:rFonts w:asciiTheme="minorHAnsi" w:hAnsiTheme="minorHAnsi"/>
              </w:rPr>
            </w:pPr>
            <w:r w:rsidRPr="00095F84">
              <w:rPr>
                <w:rFonts w:asciiTheme="minorHAnsi" w:hAnsiTheme="minorHAnsi"/>
                <w:b/>
              </w:rPr>
              <w:t>CI-</w:t>
            </w:r>
            <w:r w:rsidRPr="00095F84">
              <w:rPr>
                <w:rFonts w:asciiTheme="minorHAnsi" w:hAnsiTheme="minorHAnsi"/>
              </w:rPr>
              <w:t xml:space="preserve"> Core Indicator Report</w:t>
            </w:r>
          </w:p>
          <w:p w14:paraId="45905D0F" w14:textId="77777777" w:rsidR="00C36155" w:rsidRPr="00095F84" w:rsidRDefault="00C36155" w:rsidP="00C36155">
            <w:pPr>
              <w:spacing w:after="0" w:line="240" w:lineRule="auto"/>
              <w:jc w:val="both"/>
              <w:rPr>
                <w:rFonts w:asciiTheme="minorHAnsi" w:hAnsiTheme="minorHAnsi"/>
              </w:rPr>
            </w:pPr>
            <w:r w:rsidRPr="00095F84">
              <w:rPr>
                <w:rFonts w:asciiTheme="minorHAnsi" w:hAnsiTheme="minorHAnsi"/>
                <w:b/>
              </w:rPr>
              <w:t>MTE</w:t>
            </w:r>
            <w:r w:rsidRPr="00095F84">
              <w:rPr>
                <w:rFonts w:asciiTheme="minorHAnsi" w:hAnsiTheme="minorHAnsi"/>
              </w:rPr>
              <w:t xml:space="preserve"> – Mid-Term Evaluation of the Project</w:t>
            </w:r>
          </w:p>
          <w:p w14:paraId="4E4EE1D7" w14:textId="77777777" w:rsidR="00C36155" w:rsidRPr="00095F84" w:rsidRDefault="00C36155" w:rsidP="00C36155">
            <w:pPr>
              <w:spacing w:after="0" w:line="240" w:lineRule="auto"/>
              <w:jc w:val="both"/>
              <w:rPr>
                <w:rFonts w:asciiTheme="minorHAnsi" w:eastAsia="Arial" w:hAnsiTheme="minorHAnsi" w:cs="Arial"/>
                <w:sz w:val="24"/>
              </w:rPr>
            </w:pPr>
            <w:r w:rsidRPr="00095F84">
              <w:rPr>
                <w:rFonts w:asciiTheme="minorHAnsi" w:hAnsiTheme="minorHAnsi"/>
                <w:b/>
                <w:szCs w:val="20"/>
              </w:rPr>
              <w:t xml:space="preserve">AMR </w:t>
            </w:r>
            <w:r w:rsidRPr="00095F84">
              <w:rPr>
                <w:rFonts w:asciiTheme="minorHAnsi" w:hAnsiTheme="minorHAnsi"/>
                <w:szCs w:val="20"/>
              </w:rPr>
              <w:t>–Adaptive Management Review</w:t>
            </w:r>
          </w:p>
          <w:p w14:paraId="433AC355" w14:textId="77777777" w:rsidR="00C36155" w:rsidRPr="00095F84" w:rsidRDefault="00C36155" w:rsidP="00C36155">
            <w:pPr>
              <w:spacing w:after="0" w:line="240" w:lineRule="auto"/>
              <w:jc w:val="both"/>
              <w:rPr>
                <w:rFonts w:asciiTheme="minorHAnsi" w:eastAsia="Arial" w:hAnsiTheme="minorHAnsi" w:cs="Arial"/>
              </w:rPr>
            </w:pPr>
            <w:r w:rsidRPr="00095F84">
              <w:rPr>
                <w:rFonts w:asciiTheme="minorHAnsi" w:hAnsiTheme="minorHAnsi"/>
                <w:b/>
              </w:rPr>
              <w:t>TR</w:t>
            </w:r>
            <w:r w:rsidRPr="00095F84">
              <w:rPr>
                <w:rFonts w:asciiTheme="minorHAnsi" w:hAnsiTheme="minorHAnsi"/>
              </w:rPr>
              <w:t>- Terminal Evaluation Report</w:t>
            </w:r>
          </w:p>
          <w:p w14:paraId="40645FA2" w14:textId="77777777" w:rsidR="00C36155" w:rsidRPr="00095F84" w:rsidRDefault="00C36155" w:rsidP="00C36155">
            <w:pPr>
              <w:spacing w:after="0" w:line="240" w:lineRule="auto"/>
              <w:jc w:val="both"/>
              <w:rPr>
                <w:rFonts w:asciiTheme="minorHAnsi" w:eastAsia="Arial" w:hAnsiTheme="minorHAnsi" w:cs="Arial"/>
              </w:rPr>
            </w:pPr>
            <w:r w:rsidRPr="00095F84">
              <w:rPr>
                <w:rFonts w:asciiTheme="minorHAnsi" w:hAnsiTheme="minorHAnsi"/>
                <w:b/>
              </w:rPr>
              <w:t>ATR</w:t>
            </w:r>
            <w:r w:rsidRPr="00095F84">
              <w:rPr>
                <w:rFonts w:asciiTheme="minorHAnsi" w:hAnsiTheme="minorHAnsi"/>
              </w:rPr>
              <w:t xml:space="preserve"> – Approval of Terminal Project Report by PSC</w:t>
            </w:r>
          </w:p>
          <w:p w14:paraId="4C10ECA2" w14:textId="13AE9EA9" w:rsidR="00C36155" w:rsidRPr="00095F84" w:rsidRDefault="00C36155" w:rsidP="00095F84">
            <w:pPr>
              <w:spacing w:after="0" w:line="240" w:lineRule="auto"/>
              <w:jc w:val="both"/>
              <w:rPr>
                <w:i/>
              </w:rPr>
            </w:pPr>
            <w:r w:rsidRPr="00095F84">
              <w:rPr>
                <w:rFonts w:asciiTheme="minorHAnsi" w:hAnsiTheme="minorHAnsi"/>
                <w:b/>
              </w:rPr>
              <w:t>TE</w:t>
            </w:r>
            <w:r w:rsidRPr="00095F84">
              <w:rPr>
                <w:rFonts w:asciiTheme="minorHAnsi" w:hAnsiTheme="minorHAnsi"/>
              </w:rPr>
              <w:t xml:space="preserve"> – Terminal Evaluation of the Project</w:t>
            </w:r>
          </w:p>
        </w:tc>
      </w:tr>
    </w:tbl>
    <w:p w14:paraId="1CA32F2A" w14:textId="77777777" w:rsidR="00C36155" w:rsidRDefault="00C36155" w:rsidP="00BF593A">
      <w:pPr>
        <w:spacing w:after="0" w:line="240" w:lineRule="auto"/>
        <w:jc w:val="both"/>
        <w:rPr>
          <w:b/>
          <w:i/>
          <w:sz w:val="20"/>
          <w:szCs w:val="20"/>
        </w:rPr>
      </w:pPr>
    </w:p>
    <w:p w14:paraId="308AE9C7" w14:textId="5C3737CE" w:rsidR="00BA3D2B" w:rsidRDefault="00BA3D2B" w:rsidP="00BF593A">
      <w:pPr>
        <w:spacing w:after="0" w:line="240" w:lineRule="auto"/>
        <w:jc w:val="both"/>
        <w:rPr>
          <w:rFonts w:ascii="Arial" w:eastAsia="Arial" w:hAnsi="Arial" w:cs="Arial"/>
        </w:rPr>
      </w:pPr>
    </w:p>
    <w:p w14:paraId="08A13F6D" w14:textId="77777777" w:rsidR="00A44661" w:rsidRPr="00DD1B63" w:rsidRDefault="00A44661" w:rsidP="00F22D51">
      <w:pPr>
        <w:pStyle w:val="11"/>
      </w:pPr>
      <w:r w:rsidRPr="00D12CEF">
        <w:t>Knowledge Management and Sharing</w:t>
      </w:r>
    </w:p>
    <w:p w14:paraId="2D0AEA34" w14:textId="77777777" w:rsidR="00A44661" w:rsidRPr="00DD1B63" w:rsidRDefault="00A44661" w:rsidP="00C36155">
      <w:pPr>
        <w:spacing w:line="240" w:lineRule="auto"/>
      </w:pPr>
      <w:r>
        <w:t xml:space="preserve">In </w:t>
      </w:r>
      <w:r w:rsidRPr="00DD1B63">
        <w:t>order to enable the development of future replication and scaling-up plans, the PMU will promote a systematic approach in order to: (i) identify knowledge deemed to be relevant and valuable; (ii) capture and retain that knowledge; (iii) share that knowledge with key audiences; (iv) if possible, applying transferred knowledge during the project lifespan or designing guidelines for future replication and up-scaling; and (vi) assess the value or benefits of specific knowledge generated as a conseq</w:t>
      </w:r>
      <w:r>
        <w:t>uence of project interventions</w:t>
      </w:r>
      <w:r w:rsidRPr="00DD1B63">
        <w:t xml:space="preserve">. </w:t>
      </w:r>
    </w:p>
    <w:p w14:paraId="16C789CF" w14:textId="24652DA8" w:rsidR="00A44661" w:rsidRPr="00DD1B63" w:rsidRDefault="00A44661" w:rsidP="00C36155">
      <w:pPr>
        <w:spacing w:line="240" w:lineRule="auto"/>
      </w:pPr>
      <w:r>
        <w:t>The Adaptive Management Review (reflection exercise) mentioned above will be key to improving the project success.  Any lessons that come out of this exercise or otherwise</w:t>
      </w:r>
      <w:r w:rsidRPr="00DD1B63">
        <w:t xml:space="preserve"> will be </w:t>
      </w:r>
      <w:r w:rsidR="00F22D51">
        <w:t>categorized into relevant topic areas</w:t>
      </w:r>
      <w:r w:rsidRPr="00DD1B63">
        <w:t>,</w:t>
      </w:r>
      <w:r w:rsidR="00F22D51">
        <w:t xml:space="preserve"> such as</w:t>
      </w:r>
      <w:r w:rsidRPr="00DD1B63">
        <w:t xml:space="preserve"> capacity/performance, coordination among partners/stakeholders, specific technical issues, stakeholder engagement, gender equi</w:t>
      </w:r>
      <w:r>
        <w:t xml:space="preserve">ty, communications, etc. </w:t>
      </w:r>
      <w:r w:rsidRPr="00DD1B63">
        <w:t xml:space="preserve">and will be assessed to determine their significance and how they could be </w:t>
      </w:r>
      <w:r w:rsidR="00F22D51">
        <w:t>addressed or shared</w:t>
      </w:r>
      <w:r w:rsidRPr="00DD1B63">
        <w:t>.</w:t>
      </w:r>
    </w:p>
    <w:p w14:paraId="7FFE9786" w14:textId="77777777" w:rsidR="00A44661" w:rsidRPr="00DD1B63" w:rsidRDefault="00A44661" w:rsidP="00003C6E">
      <w:pPr>
        <w:spacing w:after="0" w:line="240" w:lineRule="auto"/>
      </w:pPr>
      <w:r w:rsidRPr="00DD1B63">
        <w:lastRenderedPageBreak/>
        <w:t>Based on the most significant lessons learned, the project team will prepare a list of specific topics for future replication/scaling-up; identify key audiences</w:t>
      </w:r>
      <w:r>
        <w:t xml:space="preserve">; </w:t>
      </w:r>
      <w:r w:rsidRPr="00DD1B63">
        <w:t xml:space="preserve">and finally select and prepare specific tools useful for knowledge sharing, replication and upscaling (e.g., proposals for policy or legal reforms; best practice manuals; workshops; case studies; technical reports; brochures; videos/tutorials; etc.). </w:t>
      </w:r>
    </w:p>
    <w:p w14:paraId="4D64C2BC" w14:textId="77777777" w:rsidR="00BA3D2B" w:rsidRPr="00BF14EB" w:rsidRDefault="00BA3D2B" w:rsidP="00003C6E">
      <w:pPr>
        <w:spacing w:after="0" w:line="240" w:lineRule="auto"/>
        <w:jc w:val="both"/>
        <w:rPr>
          <w:rFonts w:ascii="Arial" w:eastAsia="Arial" w:hAnsi="Arial" w:cs="Arial"/>
        </w:rPr>
      </w:pPr>
    </w:p>
    <w:p w14:paraId="4A34ADA6" w14:textId="77777777" w:rsidR="00C36155" w:rsidRDefault="00BA3D2B" w:rsidP="00C36155">
      <w:pPr>
        <w:pStyle w:val="11"/>
      </w:pPr>
      <w:r w:rsidRPr="00B0095D">
        <w:t xml:space="preserve">Summary M&amp;E budget </w:t>
      </w:r>
    </w:p>
    <w:p w14:paraId="5C6CC03B" w14:textId="788966AB" w:rsidR="00BA3D2B" w:rsidRPr="00C36155" w:rsidRDefault="001F1903" w:rsidP="00C36155">
      <w:pPr>
        <w:spacing w:line="240" w:lineRule="auto"/>
      </w:pPr>
      <w:r w:rsidRPr="00C36155">
        <w:t>Monitoring and evaluation costs total US$</w:t>
      </w:r>
      <w:r w:rsidRPr="00C36155">
        <w:rPr>
          <w:highlight w:val="yellow"/>
        </w:rPr>
        <w:t>X</w:t>
      </w:r>
      <w:r w:rsidRPr="00C36155">
        <w:t xml:space="preserve"> (equivalent to just over </w:t>
      </w:r>
      <w:r w:rsidRPr="00C36155">
        <w:rPr>
          <w:highlight w:val="yellow"/>
        </w:rPr>
        <w:t>X</w:t>
      </w:r>
      <w:r w:rsidRPr="00C36155">
        <w:t xml:space="preserve">% of the total budget). </w:t>
      </w:r>
      <w:commentRangeStart w:id="4"/>
      <w:r w:rsidRPr="00C36155">
        <w:t>Salary</w:t>
      </w:r>
      <w:commentRangeEnd w:id="4"/>
      <w:r w:rsidRPr="00C36155">
        <w:commentReference w:id="4"/>
      </w:r>
      <w:r w:rsidRPr="00C36155">
        <w:t xml:space="preserve"> and consultancies are the largest items and represent </w:t>
      </w:r>
      <w:r w:rsidRPr="00C36155">
        <w:rPr>
          <w:highlight w:val="yellow"/>
        </w:rPr>
        <w:t>X</w:t>
      </w:r>
      <w:r w:rsidRPr="00C36155">
        <w:t xml:space="preserve">% of the total costs. </w:t>
      </w:r>
    </w:p>
    <w:p w14:paraId="0481DFEF" w14:textId="77777777" w:rsidR="00BF593A" w:rsidRPr="009159C4" w:rsidRDefault="00BF593A" w:rsidP="00BF593A">
      <w:pPr>
        <w:rPr>
          <w:rFonts w:cs="Times New Roman"/>
        </w:rPr>
      </w:pPr>
    </w:p>
    <w:p w14:paraId="4705EB5C" w14:textId="77777777" w:rsidR="00C8216B" w:rsidRDefault="00C8216B"/>
    <w:sectPr w:rsidR="00C8216B">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 w:author="Amelia Kissick" w:date="2018-06-13T22:15:00Z" w:initials="AK">
    <w:p w14:paraId="09D6184D" w14:textId="3DB2FC26" w:rsidR="001F1903" w:rsidRDefault="001F1903">
      <w:pPr>
        <w:pStyle w:val="CommentText"/>
      </w:pPr>
      <w:r>
        <w:rPr>
          <w:rStyle w:val="CommentReference"/>
        </w:rPr>
        <w:annotationRef/>
      </w:r>
      <w:r>
        <w:t xml:space="preserve">Should be between 5 and 10% of total GEF project funding. You may describe how the bulk of that budget is determined (from salaries, methods used, the midterm/terminal evaluations, etc) in a chart or narrative format.  </w:t>
      </w:r>
    </w:p>
    <w:p w14:paraId="16800D02" w14:textId="497FB8FA" w:rsidR="001F1903" w:rsidRDefault="001F1903">
      <w:pPr>
        <w:pStyle w:val="CommentText"/>
      </w:pPr>
    </w:p>
    <w:p w14:paraId="69D7B304" w14:textId="30C23DE7" w:rsidR="001F1903" w:rsidRPr="001F1903" w:rsidRDefault="001F1903" w:rsidP="001F1903">
      <w:pPr>
        <w:pStyle w:val="CommentText"/>
      </w:pPr>
      <w:r>
        <w:t xml:space="preserve">Note: </w:t>
      </w:r>
      <w:r w:rsidRPr="001F1903">
        <w:t xml:space="preserve">See the table below for a summary of what activities are covered under the M&amp;E budget. You’ll note that certain activities that would appear M&amp;E-related, are better reflected elsewhere. </w:t>
      </w:r>
    </w:p>
    <w:p w14:paraId="12FB872F" w14:textId="77777777" w:rsidR="001F1903" w:rsidRPr="00C1072E" w:rsidRDefault="001F1903" w:rsidP="001F1903">
      <w:pPr>
        <w:pStyle w:val="CommentText"/>
        <w:rPr>
          <w:u w:val="single"/>
        </w:rPr>
      </w:pPr>
      <w:r w:rsidRPr="00C1072E">
        <w:rPr>
          <w:u w:val="single"/>
        </w:rPr>
        <w:t xml:space="preserve">Type of M&amp;E activity M&amp;E or PMC budget </w:t>
      </w:r>
    </w:p>
    <w:p w14:paraId="567DCAAC" w14:textId="4D3FD958" w:rsidR="001F1903" w:rsidRPr="001F1903" w:rsidRDefault="001F1903" w:rsidP="001F1903">
      <w:pPr>
        <w:pStyle w:val="CommentText"/>
      </w:pPr>
      <w:r w:rsidRPr="001F1903">
        <w:t xml:space="preserve">M&amp;E staff salary </w:t>
      </w:r>
      <w:r>
        <w:tab/>
      </w:r>
      <w:r w:rsidRPr="001F1903">
        <w:t xml:space="preserve">M&amp;E </w:t>
      </w:r>
    </w:p>
    <w:p w14:paraId="32D515F5" w14:textId="2581D7B1" w:rsidR="001F1903" w:rsidRPr="001F1903" w:rsidRDefault="001F1903" w:rsidP="001F1903">
      <w:pPr>
        <w:pStyle w:val="CommentText"/>
      </w:pPr>
      <w:r w:rsidRPr="001F1903">
        <w:t xml:space="preserve">Inception Workshop </w:t>
      </w:r>
      <w:r>
        <w:tab/>
      </w:r>
      <w:r w:rsidRPr="001F1903">
        <w:t xml:space="preserve">M&amp;E </w:t>
      </w:r>
    </w:p>
    <w:p w14:paraId="33B819F1" w14:textId="013C6929" w:rsidR="001F1903" w:rsidRPr="001F1903" w:rsidRDefault="001F1903" w:rsidP="001F1903">
      <w:pPr>
        <w:pStyle w:val="CommentText"/>
      </w:pPr>
      <w:r w:rsidRPr="001F1903">
        <w:t xml:space="preserve">Inception Report </w:t>
      </w:r>
      <w:r>
        <w:tab/>
      </w:r>
      <w:r w:rsidRPr="001F1903">
        <w:t xml:space="preserve">M&amp;E </w:t>
      </w:r>
    </w:p>
    <w:p w14:paraId="38C80665" w14:textId="77777777" w:rsidR="001F1903" w:rsidRPr="001F1903" w:rsidRDefault="001F1903" w:rsidP="001F1903">
      <w:pPr>
        <w:pStyle w:val="CommentText"/>
      </w:pPr>
      <w:r w:rsidRPr="001F1903">
        <w:t xml:space="preserve">Development of platform for </w:t>
      </w:r>
    </w:p>
    <w:p w14:paraId="6CAA3458" w14:textId="059B04CB" w:rsidR="001F1903" w:rsidRPr="001F1903" w:rsidRDefault="001F1903" w:rsidP="001F1903">
      <w:pPr>
        <w:pStyle w:val="CommentText"/>
      </w:pPr>
      <w:r w:rsidRPr="001F1903">
        <w:t>monitoring and sharing data</w:t>
      </w:r>
      <w:r>
        <w:tab/>
      </w:r>
      <w:r w:rsidRPr="001F1903">
        <w:t xml:space="preserve"> M&amp;E </w:t>
      </w:r>
    </w:p>
    <w:p w14:paraId="58A70423" w14:textId="77777777" w:rsidR="001F1903" w:rsidRPr="001F1903" w:rsidRDefault="001F1903" w:rsidP="001F1903">
      <w:pPr>
        <w:pStyle w:val="CommentText"/>
      </w:pPr>
      <w:r w:rsidRPr="001F1903">
        <w:t xml:space="preserve">Measurement of project indicators </w:t>
      </w:r>
    </w:p>
    <w:p w14:paraId="1A568969" w14:textId="77777777" w:rsidR="001F1903" w:rsidRPr="001F1903" w:rsidRDefault="001F1903" w:rsidP="001F1903">
      <w:pPr>
        <w:pStyle w:val="CommentText"/>
      </w:pPr>
      <w:r w:rsidRPr="001F1903">
        <w:t xml:space="preserve">(objective and progress and </w:t>
      </w:r>
    </w:p>
    <w:p w14:paraId="04E23AB2" w14:textId="77777777" w:rsidR="001F1903" w:rsidRPr="001F1903" w:rsidRDefault="001F1903" w:rsidP="001F1903">
      <w:pPr>
        <w:pStyle w:val="CommentText"/>
      </w:pPr>
      <w:r w:rsidRPr="001F1903">
        <w:t xml:space="preserve">performance indicators, tracking </w:t>
      </w:r>
    </w:p>
    <w:p w14:paraId="75F25EF5" w14:textId="27138A62" w:rsidR="001F1903" w:rsidRPr="001F1903" w:rsidRDefault="001F1903" w:rsidP="001F1903">
      <w:pPr>
        <w:pStyle w:val="CommentText"/>
      </w:pPr>
      <w:r w:rsidRPr="001F1903">
        <w:t xml:space="preserve">tools) including travel. </w:t>
      </w:r>
      <w:r>
        <w:tab/>
      </w:r>
      <w:r w:rsidRPr="001F1903">
        <w:t xml:space="preserve">M&amp;E </w:t>
      </w:r>
    </w:p>
    <w:p w14:paraId="6E31C1DB" w14:textId="33B09E23" w:rsidR="001F1903" w:rsidRPr="001F1903" w:rsidRDefault="001F1903" w:rsidP="001F1903">
      <w:pPr>
        <w:pStyle w:val="CommentText"/>
      </w:pPr>
      <w:r w:rsidRPr="001F1903">
        <w:t xml:space="preserve">Mid Term External Evaluation </w:t>
      </w:r>
      <w:r>
        <w:tab/>
      </w:r>
      <w:r w:rsidRPr="001F1903">
        <w:t xml:space="preserve">M&amp;E </w:t>
      </w:r>
    </w:p>
    <w:p w14:paraId="05E6DB49" w14:textId="19AF78AD" w:rsidR="001F1903" w:rsidRPr="001F1903" w:rsidRDefault="001F1903" w:rsidP="001F1903">
      <w:pPr>
        <w:pStyle w:val="CommentText"/>
      </w:pPr>
      <w:r w:rsidRPr="001F1903">
        <w:t xml:space="preserve">Final External Evaluation </w:t>
      </w:r>
      <w:r>
        <w:tab/>
      </w:r>
      <w:r w:rsidRPr="001F1903">
        <w:t xml:space="preserve">M&amp;E </w:t>
      </w:r>
    </w:p>
    <w:p w14:paraId="04772237" w14:textId="7BB53968" w:rsidR="001F1903" w:rsidRPr="001F1903" w:rsidRDefault="001F1903" w:rsidP="001F1903">
      <w:pPr>
        <w:pStyle w:val="CommentText"/>
      </w:pPr>
      <w:r w:rsidRPr="001F1903">
        <w:t>Reflection exercises or workshops</w:t>
      </w:r>
      <w:r>
        <w:tab/>
      </w:r>
      <w:r w:rsidRPr="001F1903">
        <w:t xml:space="preserve"> M&amp;E </w:t>
      </w:r>
    </w:p>
    <w:p w14:paraId="69684F46" w14:textId="726847F2" w:rsidR="001F1903" w:rsidRPr="001F1903" w:rsidRDefault="001F1903" w:rsidP="001F1903">
      <w:pPr>
        <w:pStyle w:val="CommentText"/>
      </w:pPr>
      <w:r w:rsidRPr="001F1903">
        <w:t xml:space="preserve">Project Final Evaluation Report </w:t>
      </w:r>
      <w:r>
        <w:tab/>
      </w:r>
      <w:r w:rsidRPr="001F1903">
        <w:t xml:space="preserve">M&amp;E </w:t>
      </w:r>
    </w:p>
    <w:p w14:paraId="61B63294" w14:textId="77777777" w:rsidR="001F1903" w:rsidRPr="001F1903" w:rsidRDefault="001F1903" w:rsidP="001F1903">
      <w:pPr>
        <w:pStyle w:val="CommentText"/>
      </w:pPr>
      <w:r w:rsidRPr="001F1903">
        <w:t xml:space="preserve">Publication of Lessons Learned and </w:t>
      </w:r>
    </w:p>
    <w:p w14:paraId="25BF452A" w14:textId="259D0C92" w:rsidR="001F1903" w:rsidRPr="001F1903" w:rsidRDefault="001F1903" w:rsidP="001F1903">
      <w:pPr>
        <w:pStyle w:val="CommentText"/>
      </w:pPr>
      <w:r w:rsidRPr="001F1903">
        <w:t xml:space="preserve">other project documents </w:t>
      </w:r>
      <w:r>
        <w:tab/>
      </w:r>
      <w:r w:rsidRPr="001F1903">
        <w:t xml:space="preserve">M&amp;E </w:t>
      </w:r>
    </w:p>
    <w:p w14:paraId="35CD173A" w14:textId="77777777" w:rsidR="001F1903" w:rsidRPr="001F1903" w:rsidRDefault="001F1903" w:rsidP="001F1903">
      <w:pPr>
        <w:pStyle w:val="CommentText"/>
      </w:pPr>
      <w:r w:rsidRPr="001F1903">
        <w:t xml:space="preserve">Knowledge management or </w:t>
      </w:r>
    </w:p>
    <w:p w14:paraId="1800E40A" w14:textId="14F8080C" w:rsidR="001F1903" w:rsidRPr="001F1903" w:rsidRDefault="001F1903" w:rsidP="001F1903">
      <w:pPr>
        <w:pStyle w:val="CommentText"/>
      </w:pPr>
      <w:r w:rsidRPr="001F1903">
        <w:t>knowledge sharing activities</w:t>
      </w:r>
      <w:r>
        <w:tab/>
      </w:r>
      <w:r w:rsidRPr="001F1903">
        <w:t xml:space="preserve"> M&amp;E </w:t>
      </w:r>
    </w:p>
    <w:p w14:paraId="7539108C" w14:textId="77777777" w:rsidR="001F1903" w:rsidRPr="001F1903" w:rsidRDefault="001F1903" w:rsidP="001F1903">
      <w:pPr>
        <w:pStyle w:val="CommentText"/>
      </w:pPr>
      <w:r w:rsidRPr="001F1903">
        <w:t xml:space="preserve">Project progress reports, closeout </w:t>
      </w:r>
    </w:p>
    <w:p w14:paraId="293CBE8D" w14:textId="0A596105" w:rsidR="001F1903" w:rsidRPr="001F1903" w:rsidRDefault="001F1903" w:rsidP="001F1903">
      <w:pPr>
        <w:pStyle w:val="CommentText"/>
      </w:pPr>
      <w:r w:rsidRPr="001F1903">
        <w:t xml:space="preserve">reports or field reports. </w:t>
      </w:r>
      <w:r>
        <w:tab/>
      </w:r>
      <w:r w:rsidRPr="001F1903">
        <w:t xml:space="preserve">PMC </w:t>
      </w:r>
    </w:p>
    <w:p w14:paraId="1A66EC16" w14:textId="21EBBA2F" w:rsidR="001F1903" w:rsidRPr="001F1903" w:rsidRDefault="001F1903" w:rsidP="001F1903">
      <w:pPr>
        <w:pStyle w:val="CommentText"/>
      </w:pPr>
      <w:r w:rsidRPr="001F1903">
        <w:t>Project Steering Committee Meetings</w:t>
      </w:r>
      <w:r>
        <w:tab/>
      </w:r>
      <w:r w:rsidRPr="001F1903">
        <w:t xml:space="preserve"> PMC </w:t>
      </w:r>
    </w:p>
    <w:p w14:paraId="797BB8B1" w14:textId="6B526DD8" w:rsidR="001F1903" w:rsidRPr="001F1903" w:rsidRDefault="001F1903" w:rsidP="001F1903">
      <w:pPr>
        <w:pStyle w:val="CommentText"/>
      </w:pPr>
      <w:r w:rsidRPr="001F1903">
        <w:t xml:space="preserve">Audits </w:t>
      </w:r>
      <w:r>
        <w:tab/>
      </w:r>
      <w:r w:rsidRPr="001F1903">
        <w:t xml:space="preserve">PMC </w:t>
      </w:r>
    </w:p>
    <w:p w14:paraId="483FABF0" w14:textId="756EEC9B" w:rsidR="001F1903" w:rsidRDefault="001F1903">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83FABF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83FABF0" w16cid:durableId="1ECC15F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682D2E" w14:textId="77777777" w:rsidR="00D9024E" w:rsidRDefault="00D9024E" w:rsidP="00BF593A">
      <w:pPr>
        <w:spacing w:after="0" w:line="240" w:lineRule="auto"/>
      </w:pPr>
      <w:r>
        <w:separator/>
      </w:r>
    </w:p>
  </w:endnote>
  <w:endnote w:type="continuationSeparator" w:id="0">
    <w:p w14:paraId="60B1EE7C" w14:textId="77777777" w:rsidR="00D9024E" w:rsidRDefault="00D9024E" w:rsidP="00BF59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057FB6" w14:textId="77777777" w:rsidR="00D9024E" w:rsidRDefault="00D9024E" w:rsidP="00BF593A">
      <w:pPr>
        <w:spacing w:after="0" w:line="240" w:lineRule="auto"/>
      </w:pPr>
      <w:r>
        <w:separator/>
      </w:r>
    </w:p>
  </w:footnote>
  <w:footnote w:type="continuationSeparator" w:id="0">
    <w:p w14:paraId="4B570B88" w14:textId="77777777" w:rsidR="00D9024E" w:rsidRDefault="00D9024E" w:rsidP="00BF593A">
      <w:pPr>
        <w:spacing w:after="0" w:line="240" w:lineRule="auto"/>
      </w:pPr>
      <w:r>
        <w:continuationSeparator/>
      </w:r>
    </w:p>
  </w:footnote>
  <w:footnote w:id="1">
    <w:p w14:paraId="3C712B39" w14:textId="77777777" w:rsidR="00822F8D" w:rsidRDefault="00822F8D" w:rsidP="00822F8D">
      <w:pPr>
        <w:pStyle w:val="FootnoteText"/>
      </w:pPr>
      <w:r>
        <w:rPr>
          <w:rStyle w:val="FootnoteReference"/>
        </w:rPr>
        <w:footnoteRef/>
      </w:r>
      <w:r>
        <w:t xml:space="preserve"> </w:t>
      </w:r>
      <w:r w:rsidRPr="00BF14EB">
        <w:t>May adjust depending on GEF Secretariat calendar.</w:t>
      </w:r>
    </w:p>
  </w:footnote>
  <w:footnote w:id="2">
    <w:p w14:paraId="0C6E37CE" w14:textId="074E2C9E" w:rsidR="00003C6E" w:rsidRDefault="00003C6E">
      <w:pPr>
        <w:pStyle w:val="FootnoteText"/>
      </w:pPr>
      <w:r>
        <w:rPr>
          <w:rStyle w:val="FootnoteReference"/>
        </w:rPr>
        <w:footnoteRef/>
      </w:r>
      <w:r>
        <w:t xml:space="preserve"> </w:t>
      </w:r>
      <w:r w:rsidRPr="00BF14EB">
        <w:t>May adjust depending on GEF Secretariat calendar.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B6692"/>
    <w:multiLevelType w:val="hybridMultilevel"/>
    <w:tmpl w:val="522CDC9C"/>
    <w:lvl w:ilvl="0" w:tplc="03287384">
      <w:start w:val="1"/>
      <w:numFmt w:val="bullet"/>
      <w:lvlText w:val="•"/>
      <w:lvlJc w:val="left"/>
      <w:pPr>
        <w:tabs>
          <w:tab w:val="num" w:pos="720"/>
        </w:tabs>
        <w:ind w:left="720" w:hanging="360"/>
      </w:pPr>
      <w:rPr>
        <w:rFonts w:ascii="Arial" w:hAnsi="Arial" w:hint="default"/>
      </w:rPr>
    </w:lvl>
    <w:lvl w:ilvl="1" w:tplc="F006BAC2">
      <w:start w:val="32"/>
      <w:numFmt w:val="bullet"/>
      <w:lvlText w:val="•"/>
      <w:lvlJc w:val="left"/>
      <w:pPr>
        <w:tabs>
          <w:tab w:val="num" w:pos="1440"/>
        </w:tabs>
        <w:ind w:left="1440" w:hanging="360"/>
      </w:pPr>
      <w:rPr>
        <w:rFonts w:ascii="Arial" w:hAnsi="Arial" w:hint="default"/>
      </w:rPr>
    </w:lvl>
    <w:lvl w:ilvl="2" w:tplc="19BA526A" w:tentative="1">
      <w:start w:val="1"/>
      <w:numFmt w:val="bullet"/>
      <w:lvlText w:val="•"/>
      <w:lvlJc w:val="left"/>
      <w:pPr>
        <w:tabs>
          <w:tab w:val="num" w:pos="2160"/>
        </w:tabs>
        <w:ind w:left="2160" w:hanging="360"/>
      </w:pPr>
      <w:rPr>
        <w:rFonts w:ascii="Arial" w:hAnsi="Arial" w:hint="default"/>
      </w:rPr>
    </w:lvl>
    <w:lvl w:ilvl="3" w:tplc="2F38F0AA" w:tentative="1">
      <w:start w:val="1"/>
      <w:numFmt w:val="bullet"/>
      <w:lvlText w:val="•"/>
      <w:lvlJc w:val="left"/>
      <w:pPr>
        <w:tabs>
          <w:tab w:val="num" w:pos="2880"/>
        </w:tabs>
        <w:ind w:left="2880" w:hanging="360"/>
      </w:pPr>
      <w:rPr>
        <w:rFonts w:ascii="Arial" w:hAnsi="Arial" w:hint="default"/>
      </w:rPr>
    </w:lvl>
    <w:lvl w:ilvl="4" w:tplc="3F088FC2" w:tentative="1">
      <w:start w:val="1"/>
      <w:numFmt w:val="bullet"/>
      <w:lvlText w:val="•"/>
      <w:lvlJc w:val="left"/>
      <w:pPr>
        <w:tabs>
          <w:tab w:val="num" w:pos="3600"/>
        </w:tabs>
        <w:ind w:left="3600" w:hanging="360"/>
      </w:pPr>
      <w:rPr>
        <w:rFonts w:ascii="Arial" w:hAnsi="Arial" w:hint="default"/>
      </w:rPr>
    </w:lvl>
    <w:lvl w:ilvl="5" w:tplc="895E86BC" w:tentative="1">
      <w:start w:val="1"/>
      <w:numFmt w:val="bullet"/>
      <w:lvlText w:val="•"/>
      <w:lvlJc w:val="left"/>
      <w:pPr>
        <w:tabs>
          <w:tab w:val="num" w:pos="4320"/>
        </w:tabs>
        <w:ind w:left="4320" w:hanging="360"/>
      </w:pPr>
      <w:rPr>
        <w:rFonts w:ascii="Arial" w:hAnsi="Arial" w:hint="default"/>
      </w:rPr>
    </w:lvl>
    <w:lvl w:ilvl="6" w:tplc="78B2C766" w:tentative="1">
      <w:start w:val="1"/>
      <w:numFmt w:val="bullet"/>
      <w:lvlText w:val="•"/>
      <w:lvlJc w:val="left"/>
      <w:pPr>
        <w:tabs>
          <w:tab w:val="num" w:pos="5040"/>
        </w:tabs>
        <w:ind w:left="5040" w:hanging="360"/>
      </w:pPr>
      <w:rPr>
        <w:rFonts w:ascii="Arial" w:hAnsi="Arial" w:hint="default"/>
      </w:rPr>
    </w:lvl>
    <w:lvl w:ilvl="7" w:tplc="4E9ABA8A" w:tentative="1">
      <w:start w:val="1"/>
      <w:numFmt w:val="bullet"/>
      <w:lvlText w:val="•"/>
      <w:lvlJc w:val="left"/>
      <w:pPr>
        <w:tabs>
          <w:tab w:val="num" w:pos="5760"/>
        </w:tabs>
        <w:ind w:left="5760" w:hanging="360"/>
      </w:pPr>
      <w:rPr>
        <w:rFonts w:ascii="Arial" w:hAnsi="Arial" w:hint="default"/>
      </w:rPr>
    </w:lvl>
    <w:lvl w:ilvl="8" w:tplc="B6EC02F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3B282C45"/>
    <w:multiLevelType w:val="hybridMultilevel"/>
    <w:tmpl w:val="FB14C266"/>
    <w:lvl w:ilvl="0" w:tplc="44364B56">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D0B1CFF"/>
    <w:multiLevelType w:val="hybridMultilevel"/>
    <w:tmpl w:val="35182F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2C250C0"/>
    <w:multiLevelType w:val="hybridMultilevel"/>
    <w:tmpl w:val="D33C66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9575C9B"/>
    <w:multiLevelType w:val="multilevel"/>
    <w:tmpl w:val="EDE655F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4"/>
  </w:num>
  <w:num w:numId="2">
    <w:abstractNumId w:val="1"/>
  </w:num>
  <w:num w:numId="3">
    <w:abstractNumId w:val="0"/>
  </w:num>
  <w:num w:numId="4">
    <w:abstractNumId w:val="2"/>
  </w:num>
  <w:num w:numId="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melia Kissick">
    <w15:presenceInfo w15:providerId="None" w15:userId="Amelia Kissic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593A"/>
    <w:rsid w:val="000004DE"/>
    <w:rsid w:val="00001FC9"/>
    <w:rsid w:val="00003C6E"/>
    <w:rsid w:val="000061A7"/>
    <w:rsid w:val="00007136"/>
    <w:rsid w:val="00007BC0"/>
    <w:rsid w:val="000122C9"/>
    <w:rsid w:val="0001405A"/>
    <w:rsid w:val="00016C9D"/>
    <w:rsid w:val="00016E97"/>
    <w:rsid w:val="00017204"/>
    <w:rsid w:val="000244D8"/>
    <w:rsid w:val="0002516D"/>
    <w:rsid w:val="00025B6B"/>
    <w:rsid w:val="00026471"/>
    <w:rsid w:val="000265AD"/>
    <w:rsid w:val="00027097"/>
    <w:rsid w:val="00027A0B"/>
    <w:rsid w:val="0003065B"/>
    <w:rsid w:val="00032C02"/>
    <w:rsid w:val="000351F6"/>
    <w:rsid w:val="00036FFF"/>
    <w:rsid w:val="000419BA"/>
    <w:rsid w:val="00042F14"/>
    <w:rsid w:val="00044321"/>
    <w:rsid w:val="000447AA"/>
    <w:rsid w:val="0004529C"/>
    <w:rsid w:val="00045ABA"/>
    <w:rsid w:val="00047057"/>
    <w:rsid w:val="000471F0"/>
    <w:rsid w:val="00050B80"/>
    <w:rsid w:val="00051A7D"/>
    <w:rsid w:val="00054B7E"/>
    <w:rsid w:val="00054E84"/>
    <w:rsid w:val="0006036C"/>
    <w:rsid w:val="00061CE1"/>
    <w:rsid w:val="00061DC1"/>
    <w:rsid w:val="000646EA"/>
    <w:rsid w:val="00065B14"/>
    <w:rsid w:val="00070347"/>
    <w:rsid w:val="0007317B"/>
    <w:rsid w:val="00073E7F"/>
    <w:rsid w:val="00075849"/>
    <w:rsid w:val="000761A1"/>
    <w:rsid w:val="00077C72"/>
    <w:rsid w:val="00080E6B"/>
    <w:rsid w:val="00082205"/>
    <w:rsid w:val="0008385F"/>
    <w:rsid w:val="00083DB9"/>
    <w:rsid w:val="00083DC0"/>
    <w:rsid w:val="00084EC9"/>
    <w:rsid w:val="0008544E"/>
    <w:rsid w:val="0008546F"/>
    <w:rsid w:val="00085F4A"/>
    <w:rsid w:val="000863EC"/>
    <w:rsid w:val="00086E07"/>
    <w:rsid w:val="00087F8B"/>
    <w:rsid w:val="000906B7"/>
    <w:rsid w:val="00090CD6"/>
    <w:rsid w:val="00090D2D"/>
    <w:rsid w:val="0009308E"/>
    <w:rsid w:val="00093D39"/>
    <w:rsid w:val="00093EB3"/>
    <w:rsid w:val="000941F8"/>
    <w:rsid w:val="000942B9"/>
    <w:rsid w:val="00095F84"/>
    <w:rsid w:val="00096848"/>
    <w:rsid w:val="00096B3D"/>
    <w:rsid w:val="000A0F0B"/>
    <w:rsid w:val="000A3445"/>
    <w:rsid w:val="000A6E62"/>
    <w:rsid w:val="000A6F53"/>
    <w:rsid w:val="000A734F"/>
    <w:rsid w:val="000B4553"/>
    <w:rsid w:val="000B5EF3"/>
    <w:rsid w:val="000C0EC1"/>
    <w:rsid w:val="000C12B9"/>
    <w:rsid w:val="000C12FD"/>
    <w:rsid w:val="000C2027"/>
    <w:rsid w:val="000C3FA8"/>
    <w:rsid w:val="000C4163"/>
    <w:rsid w:val="000C56BD"/>
    <w:rsid w:val="000C595A"/>
    <w:rsid w:val="000C7541"/>
    <w:rsid w:val="000D0BC9"/>
    <w:rsid w:val="000D1176"/>
    <w:rsid w:val="000D1366"/>
    <w:rsid w:val="000D241D"/>
    <w:rsid w:val="000D2D4F"/>
    <w:rsid w:val="000D3D9E"/>
    <w:rsid w:val="000D5FB9"/>
    <w:rsid w:val="000D7678"/>
    <w:rsid w:val="000E075D"/>
    <w:rsid w:val="000E2248"/>
    <w:rsid w:val="000E377F"/>
    <w:rsid w:val="000E5B73"/>
    <w:rsid w:val="000F0F6F"/>
    <w:rsid w:val="000F168C"/>
    <w:rsid w:val="000F3258"/>
    <w:rsid w:val="001014FD"/>
    <w:rsid w:val="001031BF"/>
    <w:rsid w:val="00105E4F"/>
    <w:rsid w:val="00105EDC"/>
    <w:rsid w:val="001113BA"/>
    <w:rsid w:val="001138CC"/>
    <w:rsid w:val="00116413"/>
    <w:rsid w:val="00116B96"/>
    <w:rsid w:val="00117DD0"/>
    <w:rsid w:val="001203B5"/>
    <w:rsid w:val="00120C4D"/>
    <w:rsid w:val="001230A5"/>
    <w:rsid w:val="00123A63"/>
    <w:rsid w:val="0012415A"/>
    <w:rsid w:val="001261EF"/>
    <w:rsid w:val="00126BBB"/>
    <w:rsid w:val="00127F15"/>
    <w:rsid w:val="00127F9B"/>
    <w:rsid w:val="00130418"/>
    <w:rsid w:val="00133AA0"/>
    <w:rsid w:val="00134D30"/>
    <w:rsid w:val="001355BD"/>
    <w:rsid w:val="001363EA"/>
    <w:rsid w:val="001414E0"/>
    <w:rsid w:val="00142F2F"/>
    <w:rsid w:val="001434D6"/>
    <w:rsid w:val="00143552"/>
    <w:rsid w:val="00145787"/>
    <w:rsid w:val="001458ED"/>
    <w:rsid w:val="001479FE"/>
    <w:rsid w:val="00151097"/>
    <w:rsid w:val="00152899"/>
    <w:rsid w:val="0015398A"/>
    <w:rsid w:val="00156414"/>
    <w:rsid w:val="00156625"/>
    <w:rsid w:val="001570DC"/>
    <w:rsid w:val="00160020"/>
    <w:rsid w:val="00160DEC"/>
    <w:rsid w:val="00161811"/>
    <w:rsid w:val="00161A41"/>
    <w:rsid w:val="00162C36"/>
    <w:rsid w:val="001639A4"/>
    <w:rsid w:val="00166020"/>
    <w:rsid w:val="00167758"/>
    <w:rsid w:val="0017084D"/>
    <w:rsid w:val="00171D28"/>
    <w:rsid w:val="00172005"/>
    <w:rsid w:val="001725C4"/>
    <w:rsid w:val="00172B3F"/>
    <w:rsid w:val="00173E9C"/>
    <w:rsid w:val="0017740A"/>
    <w:rsid w:val="00180E2B"/>
    <w:rsid w:val="00181475"/>
    <w:rsid w:val="00183640"/>
    <w:rsid w:val="00183E20"/>
    <w:rsid w:val="001858E0"/>
    <w:rsid w:val="0018659B"/>
    <w:rsid w:val="00186F63"/>
    <w:rsid w:val="00187B1D"/>
    <w:rsid w:val="001901E2"/>
    <w:rsid w:val="001913B5"/>
    <w:rsid w:val="00192A2C"/>
    <w:rsid w:val="0019362D"/>
    <w:rsid w:val="00193F4C"/>
    <w:rsid w:val="001A1D50"/>
    <w:rsid w:val="001A2A5B"/>
    <w:rsid w:val="001A4696"/>
    <w:rsid w:val="001A4740"/>
    <w:rsid w:val="001A5F8E"/>
    <w:rsid w:val="001A69F4"/>
    <w:rsid w:val="001B09D2"/>
    <w:rsid w:val="001B763B"/>
    <w:rsid w:val="001B7A2D"/>
    <w:rsid w:val="001C2DB2"/>
    <w:rsid w:val="001C2FAC"/>
    <w:rsid w:val="001C72A5"/>
    <w:rsid w:val="001C752E"/>
    <w:rsid w:val="001C78C7"/>
    <w:rsid w:val="001D0A77"/>
    <w:rsid w:val="001D2F32"/>
    <w:rsid w:val="001D33CA"/>
    <w:rsid w:val="001D3DC2"/>
    <w:rsid w:val="001D68D2"/>
    <w:rsid w:val="001E0724"/>
    <w:rsid w:val="001E2A20"/>
    <w:rsid w:val="001E3151"/>
    <w:rsid w:val="001E3493"/>
    <w:rsid w:val="001E3A71"/>
    <w:rsid w:val="001E666D"/>
    <w:rsid w:val="001E71EB"/>
    <w:rsid w:val="001E78EA"/>
    <w:rsid w:val="001F1903"/>
    <w:rsid w:val="001F19FD"/>
    <w:rsid w:val="001F2AED"/>
    <w:rsid w:val="001F38A6"/>
    <w:rsid w:val="001F40DF"/>
    <w:rsid w:val="001F6501"/>
    <w:rsid w:val="001F691F"/>
    <w:rsid w:val="001F7394"/>
    <w:rsid w:val="001F7AA5"/>
    <w:rsid w:val="0020092A"/>
    <w:rsid w:val="002029A4"/>
    <w:rsid w:val="00202E11"/>
    <w:rsid w:val="002076E5"/>
    <w:rsid w:val="00212238"/>
    <w:rsid w:val="00213E57"/>
    <w:rsid w:val="002202AE"/>
    <w:rsid w:val="00220713"/>
    <w:rsid w:val="00220E0D"/>
    <w:rsid w:val="002215E2"/>
    <w:rsid w:val="00223D03"/>
    <w:rsid w:val="00225277"/>
    <w:rsid w:val="00231BF9"/>
    <w:rsid w:val="00231D3B"/>
    <w:rsid w:val="002320A6"/>
    <w:rsid w:val="00236391"/>
    <w:rsid w:val="00236899"/>
    <w:rsid w:val="00236DD0"/>
    <w:rsid w:val="0023713B"/>
    <w:rsid w:val="0024080C"/>
    <w:rsid w:val="00243675"/>
    <w:rsid w:val="00243AC4"/>
    <w:rsid w:val="00244B0D"/>
    <w:rsid w:val="00244B6B"/>
    <w:rsid w:val="00244B89"/>
    <w:rsid w:val="002459BC"/>
    <w:rsid w:val="00246C62"/>
    <w:rsid w:val="0025019D"/>
    <w:rsid w:val="00252DE4"/>
    <w:rsid w:val="002555B7"/>
    <w:rsid w:val="0025573F"/>
    <w:rsid w:val="00261504"/>
    <w:rsid w:val="00266B69"/>
    <w:rsid w:val="00267028"/>
    <w:rsid w:val="00267F27"/>
    <w:rsid w:val="002701A5"/>
    <w:rsid w:val="00270229"/>
    <w:rsid w:val="00271A43"/>
    <w:rsid w:val="00272544"/>
    <w:rsid w:val="00273E51"/>
    <w:rsid w:val="002759FB"/>
    <w:rsid w:val="00275DE3"/>
    <w:rsid w:val="00277D88"/>
    <w:rsid w:val="002800A4"/>
    <w:rsid w:val="002817D5"/>
    <w:rsid w:val="002825DC"/>
    <w:rsid w:val="00282883"/>
    <w:rsid w:val="00283978"/>
    <w:rsid w:val="00284138"/>
    <w:rsid w:val="002844BA"/>
    <w:rsid w:val="0028686D"/>
    <w:rsid w:val="00286DAF"/>
    <w:rsid w:val="002874D6"/>
    <w:rsid w:val="00287980"/>
    <w:rsid w:val="002879E4"/>
    <w:rsid w:val="00290390"/>
    <w:rsid w:val="0029117E"/>
    <w:rsid w:val="002922A7"/>
    <w:rsid w:val="0029288E"/>
    <w:rsid w:val="00292B49"/>
    <w:rsid w:val="00294E2E"/>
    <w:rsid w:val="002A01B1"/>
    <w:rsid w:val="002A252B"/>
    <w:rsid w:val="002B08FD"/>
    <w:rsid w:val="002B1912"/>
    <w:rsid w:val="002B2B8F"/>
    <w:rsid w:val="002B386C"/>
    <w:rsid w:val="002B5135"/>
    <w:rsid w:val="002B5A77"/>
    <w:rsid w:val="002B625D"/>
    <w:rsid w:val="002B64DE"/>
    <w:rsid w:val="002B69EC"/>
    <w:rsid w:val="002C16C2"/>
    <w:rsid w:val="002C1A02"/>
    <w:rsid w:val="002C1C6A"/>
    <w:rsid w:val="002C207C"/>
    <w:rsid w:val="002C7838"/>
    <w:rsid w:val="002D0242"/>
    <w:rsid w:val="002D136F"/>
    <w:rsid w:val="002D1492"/>
    <w:rsid w:val="002D2378"/>
    <w:rsid w:val="002D2E4A"/>
    <w:rsid w:val="002D30A3"/>
    <w:rsid w:val="002D3A4B"/>
    <w:rsid w:val="002D3C0C"/>
    <w:rsid w:val="002D4E30"/>
    <w:rsid w:val="002D5487"/>
    <w:rsid w:val="002D79A1"/>
    <w:rsid w:val="002E379A"/>
    <w:rsid w:val="002E401F"/>
    <w:rsid w:val="002E4F62"/>
    <w:rsid w:val="002E610F"/>
    <w:rsid w:val="002E73A3"/>
    <w:rsid w:val="002E75E9"/>
    <w:rsid w:val="002F0533"/>
    <w:rsid w:val="002F10E4"/>
    <w:rsid w:val="002F21E5"/>
    <w:rsid w:val="002F2FA4"/>
    <w:rsid w:val="002F37B5"/>
    <w:rsid w:val="002F3C56"/>
    <w:rsid w:val="002F3FD8"/>
    <w:rsid w:val="00300F96"/>
    <w:rsid w:val="00302336"/>
    <w:rsid w:val="003038B6"/>
    <w:rsid w:val="00303B10"/>
    <w:rsid w:val="00303C76"/>
    <w:rsid w:val="00303FE1"/>
    <w:rsid w:val="003046BB"/>
    <w:rsid w:val="003054AB"/>
    <w:rsid w:val="00307D38"/>
    <w:rsid w:val="00311FBB"/>
    <w:rsid w:val="003128A5"/>
    <w:rsid w:val="003133A1"/>
    <w:rsid w:val="00314995"/>
    <w:rsid w:val="00321AC4"/>
    <w:rsid w:val="00322465"/>
    <w:rsid w:val="003238B7"/>
    <w:rsid w:val="00330972"/>
    <w:rsid w:val="00330B26"/>
    <w:rsid w:val="003315E9"/>
    <w:rsid w:val="00331AEB"/>
    <w:rsid w:val="003352CE"/>
    <w:rsid w:val="00335C7A"/>
    <w:rsid w:val="00336B01"/>
    <w:rsid w:val="00340A08"/>
    <w:rsid w:val="00341B7A"/>
    <w:rsid w:val="003425DD"/>
    <w:rsid w:val="00342B2F"/>
    <w:rsid w:val="003440B9"/>
    <w:rsid w:val="003440D1"/>
    <w:rsid w:val="00344247"/>
    <w:rsid w:val="003449B0"/>
    <w:rsid w:val="00345E8E"/>
    <w:rsid w:val="003469DE"/>
    <w:rsid w:val="00351B58"/>
    <w:rsid w:val="0035479D"/>
    <w:rsid w:val="00354FC3"/>
    <w:rsid w:val="00355572"/>
    <w:rsid w:val="003564E2"/>
    <w:rsid w:val="003574DA"/>
    <w:rsid w:val="00362E8A"/>
    <w:rsid w:val="00363073"/>
    <w:rsid w:val="003633B9"/>
    <w:rsid w:val="00363CED"/>
    <w:rsid w:val="00370B09"/>
    <w:rsid w:val="0037187B"/>
    <w:rsid w:val="00371A28"/>
    <w:rsid w:val="0037242C"/>
    <w:rsid w:val="00372DD3"/>
    <w:rsid w:val="00373CDC"/>
    <w:rsid w:val="00375582"/>
    <w:rsid w:val="00377692"/>
    <w:rsid w:val="00377884"/>
    <w:rsid w:val="00382416"/>
    <w:rsid w:val="0038320A"/>
    <w:rsid w:val="00383C3B"/>
    <w:rsid w:val="00383C8A"/>
    <w:rsid w:val="003845F5"/>
    <w:rsid w:val="00385BE5"/>
    <w:rsid w:val="00387E6A"/>
    <w:rsid w:val="00391514"/>
    <w:rsid w:val="0039157B"/>
    <w:rsid w:val="00392097"/>
    <w:rsid w:val="00392437"/>
    <w:rsid w:val="00393E71"/>
    <w:rsid w:val="00395176"/>
    <w:rsid w:val="00395F49"/>
    <w:rsid w:val="00396EA8"/>
    <w:rsid w:val="003979B6"/>
    <w:rsid w:val="003A089F"/>
    <w:rsid w:val="003A2F43"/>
    <w:rsid w:val="003A5C89"/>
    <w:rsid w:val="003A5FE9"/>
    <w:rsid w:val="003A6BED"/>
    <w:rsid w:val="003A7CE8"/>
    <w:rsid w:val="003B0F8D"/>
    <w:rsid w:val="003B323E"/>
    <w:rsid w:val="003B467A"/>
    <w:rsid w:val="003B5E0E"/>
    <w:rsid w:val="003B6487"/>
    <w:rsid w:val="003B6A26"/>
    <w:rsid w:val="003C0E71"/>
    <w:rsid w:val="003C1EF1"/>
    <w:rsid w:val="003C305F"/>
    <w:rsid w:val="003C3DE0"/>
    <w:rsid w:val="003D0971"/>
    <w:rsid w:val="003D3D05"/>
    <w:rsid w:val="003D4058"/>
    <w:rsid w:val="003D5553"/>
    <w:rsid w:val="003D6F57"/>
    <w:rsid w:val="003E04EC"/>
    <w:rsid w:val="003E5600"/>
    <w:rsid w:val="003E7116"/>
    <w:rsid w:val="003F04C8"/>
    <w:rsid w:val="003F0A97"/>
    <w:rsid w:val="003F3704"/>
    <w:rsid w:val="003F421D"/>
    <w:rsid w:val="003F6CE5"/>
    <w:rsid w:val="00402718"/>
    <w:rsid w:val="004030D9"/>
    <w:rsid w:val="0040340E"/>
    <w:rsid w:val="00404069"/>
    <w:rsid w:val="00404C9B"/>
    <w:rsid w:val="004067D6"/>
    <w:rsid w:val="0040743D"/>
    <w:rsid w:val="004079D2"/>
    <w:rsid w:val="00407D92"/>
    <w:rsid w:val="00410517"/>
    <w:rsid w:val="004110C2"/>
    <w:rsid w:val="00411260"/>
    <w:rsid w:val="00412D4A"/>
    <w:rsid w:val="00415EFA"/>
    <w:rsid w:val="00420888"/>
    <w:rsid w:val="00420E48"/>
    <w:rsid w:val="004212C8"/>
    <w:rsid w:val="00422681"/>
    <w:rsid w:val="00422800"/>
    <w:rsid w:val="004237EA"/>
    <w:rsid w:val="00424F3D"/>
    <w:rsid w:val="004257D3"/>
    <w:rsid w:val="004265ED"/>
    <w:rsid w:val="0042694C"/>
    <w:rsid w:val="00427BA1"/>
    <w:rsid w:val="00427D0F"/>
    <w:rsid w:val="004307A7"/>
    <w:rsid w:val="00430A94"/>
    <w:rsid w:val="00430E26"/>
    <w:rsid w:val="004313BF"/>
    <w:rsid w:val="00431C04"/>
    <w:rsid w:val="00432C70"/>
    <w:rsid w:val="00434071"/>
    <w:rsid w:val="00436A85"/>
    <w:rsid w:val="00436BC3"/>
    <w:rsid w:val="00437242"/>
    <w:rsid w:val="004377C7"/>
    <w:rsid w:val="00437CC1"/>
    <w:rsid w:val="00440F81"/>
    <w:rsid w:val="00441024"/>
    <w:rsid w:val="00441A9E"/>
    <w:rsid w:val="00442B1F"/>
    <w:rsid w:val="00444B28"/>
    <w:rsid w:val="00444E5E"/>
    <w:rsid w:val="004455BB"/>
    <w:rsid w:val="00445F89"/>
    <w:rsid w:val="00446492"/>
    <w:rsid w:val="004477C7"/>
    <w:rsid w:val="00456C94"/>
    <w:rsid w:val="004575D7"/>
    <w:rsid w:val="00462A12"/>
    <w:rsid w:val="00463363"/>
    <w:rsid w:val="004633B9"/>
    <w:rsid w:val="00465B42"/>
    <w:rsid w:val="00466B59"/>
    <w:rsid w:val="00467297"/>
    <w:rsid w:val="0047216B"/>
    <w:rsid w:val="004730EC"/>
    <w:rsid w:val="00473D58"/>
    <w:rsid w:val="00474019"/>
    <w:rsid w:val="00474B7A"/>
    <w:rsid w:val="00474CFA"/>
    <w:rsid w:val="00475119"/>
    <w:rsid w:val="00475E16"/>
    <w:rsid w:val="004805B9"/>
    <w:rsid w:val="00483F14"/>
    <w:rsid w:val="00484DCB"/>
    <w:rsid w:val="004920B3"/>
    <w:rsid w:val="0049289E"/>
    <w:rsid w:val="004932B4"/>
    <w:rsid w:val="00493BFC"/>
    <w:rsid w:val="00495A4D"/>
    <w:rsid w:val="00495BAB"/>
    <w:rsid w:val="00495F96"/>
    <w:rsid w:val="004A0891"/>
    <w:rsid w:val="004A0FA3"/>
    <w:rsid w:val="004A2949"/>
    <w:rsid w:val="004A31C4"/>
    <w:rsid w:val="004A4ECD"/>
    <w:rsid w:val="004A6230"/>
    <w:rsid w:val="004A6284"/>
    <w:rsid w:val="004B030E"/>
    <w:rsid w:val="004B07CB"/>
    <w:rsid w:val="004B0BCC"/>
    <w:rsid w:val="004B0C66"/>
    <w:rsid w:val="004B2554"/>
    <w:rsid w:val="004B38A1"/>
    <w:rsid w:val="004B4980"/>
    <w:rsid w:val="004B5082"/>
    <w:rsid w:val="004B654D"/>
    <w:rsid w:val="004C11BE"/>
    <w:rsid w:val="004D0B27"/>
    <w:rsid w:val="004D1823"/>
    <w:rsid w:val="004D2FB9"/>
    <w:rsid w:val="004D408A"/>
    <w:rsid w:val="004D4ACF"/>
    <w:rsid w:val="004D5F5A"/>
    <w:rsid w:val="004D6897"/>
    <w:rsid w:val="004E0077"/>
    <w:rsid w:val="004E26DF"/>
    <w:rsid w:val="004E2CF9"/>
    <w:rsid w:val="004E2F64"/>
    <w:rsid w:val="004E3343"/>
    <w:rsid w:val="004E3AD3"/>
    <w:rsid w:val="004E4640"/>
    <w:rsid w:val="004E5D3B"/>
    <w:rsid w:val="004E6868"/>
    <w:rsid w:val="004E6E08"/>
    <w:rsid w:val="004F0867"/>
    <w:rsid w:val="004F31F5"/>
    <w:rsid w:val="004F3DCB"/>
    <w:rsid w:val="004F42BA"/>
    <w:rsid w:val="004F5CFF"/>
    <w:rsid w:val="005002F1"/>
    <w:rsid w:val="005013AF"/>
    <w:rsid w:val="00502BA1"/>
    <w:rsid w:val="00506845"/>
    <w:rsid w:val="00506EB2"/>
    <w:rsid w:val="0050759B"/>
    <w:rsid w:val="00507F2A"/>
    <w:rsid w:val="005111ED"/>
    <w:rsid w:val="0051162D"/>
    <w:rsid w:val="005120A2"/>
    <w:rsid w:val="00512906"/>
    <w:rsid w:val="00513099"/>
    <w:rsid w:val="0051523E"/>
    <w:rsid w:val="0051773D"/>
    <w:rsid w:val="00521536"/>
    <w:rsid w:val="00521A3C"/>
    <w:rsid w:val="00522B17"/>
    <w:rsid w:val="00523AB9"/>
    <w:rsid w:val="0052706D"/>
    <w:rsid w:val="00532540"/>
    <w:rsid w:val="00533D0D"/>
    <w:rsid w:val="0053605E"/>
    <w:rsid w:val="00536E44"/>
    <w:rsid w:val="00537B09"/>
    <w:rsid w:val="00537F36"/>
    <w:rsid w:val="005411CC"/>
    <w:rsid w:val="00543448"/>
    <w:rsid w:val="005509C4"/>
    <w:rsid w:val="0055266F"/>
    <w:rsid w:val="005526AA"/>
    <w:rsid w:val="0055379A"/>
    <w:rsid w:val="00553AA2"/>
    <w:rsid w:val="00554AA2"/>
    <w:rsid w:val="00554CCD"/>
    <w:rsid w:val="0055623E"/>
    <w:rsid w:val="00556E33"/>
    <w:rsid w:val="0055719A"/>
    <w:rsid w:val="00561D7D"/>
    <w:rsid w:val="00561E4B"/>
    <w:rsid w:val="00562D59"/>
    <w:rsid w:val="00562E49"/>
    <w:rsid w:val="0056303D"/>
    <w:rsid w:val="00563609"/>
    <w:rsid w:val="0056531F"/>
    <w:rsid w:val="0056534E"/>
    <w:rsid w:val="005654A1"/>
    <w:rsid w:val="005664CD"/>
    <w:rsid w:val="0056657B"/>
    <w:rsid w:val="005723AF"/>
    <w:rsid w:val="0057257F"/>
    <w:rsid w:val="005725A6"/>
    <w:rsid w:val="00572F69"/>
    <w:rsid w:val="0057329B"/>
    <w:rsid w:val="00573F00"/>
    <w:rsid w:val="00574ED3"/>
    <w:rsid w:val="0057546E"/>
    <w:rsid w:val="00577398"/>
    <w:rsid w:val="005778CA"/>
    <w:rsid w:val="00580E51"/>
    <w:rsid w:val="005815BD"/>
    <w:rsid w:val="0058411A"/>
    <w:rsid w:val="00584CAB"/>
    <w:rsid w:val="005862A2"/>
    <w:rsid w:val="00586BDD"/>
    <w:rsid w:val="00587F3B"/>
    <w:rsid w:val="00590460"/>
    <w:rsid w:val="00592D3E"/>
    <w:rsid w:val="0059410D"/>
    <w:rsid w:val="0059479E"/>
    <w:rsid w:val="00594A7D"/>
    <w:rsid w:val="00595182"/>
    <w:rsid w:val="00595331"/>
    <w:rsid w:val="005975D1"/>
    <w:rsid w:val="00597CFE"/>
    <w:rsid w:val="005A6741"/>
    <w:rsid w:val="005B0824"/>
    <w:rsid w:val="005B1034"/>
    <w:rsid w:val="005B1B1A"/>
    <w:rsid w:val="005B23BF"/>
    <w:rsid w:val="005B2F1B"/>
    <w:rsid w:val="005B324B"/>
    <w:rsid w:val="005B3C2A"/>
    <w:rsid w:val="005B40CA"/>
    <w:rsid w:val="005B657C"/>
    <w:rsid w:val="005B7989"/>
    <w:rsid w:val="005C00D1"/>
    <w:rsid w:val="005C02FD"/>
    <w:rsid w:val="005C0C9D"/>
    <w:rsid w:val="005C1E37"/>
    <w:rsid w:val="005C5C03"/>
    <w:rsid w:val="005C6578"/>
    <w:rsid w:val="005C65E7"/>
    <w:rsid w:val="005C6DB7"/>
    <w:rsid w:val="005C700E"/>
    <w:rsid w:val="005D0151"/>
    <w:rsid w:val="005D1C12"/>
    <w:rsid w:val="005D56D7"/>
    <w:rsid w:val="005D7652"/>
    <w:rsid w:val="005D76C8"/>
    <w:rsid w:val="005E05C7"/>
    <w:rsid w:val="005E09F2"/>
    <w:rsid w:val="005E1952"/>
    <w:rsid w:val="005E71DC"/>
    <w:rsid w:val="005F199E"/>
    <w:rsid w:val="005F4A62"/>
    <w:rsid w:val="005F5F04"/>
    <w:rsid w:val="005F5F87"/>
    <w:rsid w:val="005F6CC9"/>
    <w:rsid w:val="005F74AF"/>
    <w:rsid w:val="00600DDD"/>
    <w:rsid w:val="006010DA"/>
    <w:rsid w:val="0060113F"/>
    <w:rsid w:val="006013B1"/>
    <w:rsid w:val="00603F68"/>
    <w:rsid w:val="00603F6C"/>
    <w:rsid w:val="00605671"/>
    <w:rsid w:val="00605A1A"/>
    <w:rsid w:val="00606CBD"/>
    <w:rsid w:val="00611163"/>
    <w:rsid w:val="00611BB1"/>
    <w:rsid w:val="006121C4"/>
    <w:rsid w:val="00612274"/>
    <w:rsid w:val="006128D8"/>
    <w:rsid w:val="00613BAB"/>
    <w:rsid w:val="006218B9"/>
    <w:rsid w:val="00622997"/>
    <w:rsid w:val="00623654"/>
    <w:rsid w:val="00623F93"/>
    <w:rsid w:val="006277D2"/>
    <w:rsid w:val="006343EA"/>
    <w:rsid w:val="0063454C"/>
    <w:rsid w:val="006349CE"/>
    <w:rsid w:val="00635720"/>
    <w:rsid w:val="006411CD"/>
    <w:rsid w:val="0064127D"/>
    <w:rsid w:val="006412D6"/>
    <w:rsid w:val="006423AD"/>
    <w:rsid w:val="00643733"/>
    <w:rsid w:val="00643BF6"/>
    <w:rsid w:val="00644DB5"/>
    <w:rsid w:val="00645A68"/>
    <w:rsid w:val="00645F46"/>
    <w:rsid w:val="006507AF"/>
    <w:rsid w:val="00650A83"/>
    <w:rsid w:val="00652BB5"/>
    <w:rsid w:val="0065307E"/>
    <w:rsid w:val="00653094"/>
    <w:rsid w:val="00657C8F"/>
    <w:rsid w:val="00661352"/>
    <w:rsid w:val="00663667"/>
    <w:rsid w:val="00663A49"/>
    <w:rsid w:val="00666353"/>
    <w:rsid w:val="00666AFB"/>
    <w:rsid w:val="0066758C"/>
    <w:rsid w:val="006730AA"/>
    <w:rsid w:val="006730AC"/>
    <w:rsid w:val="00673815"/>
    <w:rsid w:val="006744E3"/>
    <w:rsid w:val="00675E8B"/>
    <w:rsid w:val="00676C47"/>
    <w:rsid w:val="00681449"/>
    <w:rsid w:val="00681C4E"/>
    <w:rsid w:val="00682058"/>
    <w:rsid w:val="0068340D"/>
    <w:rsid w:val="006836B1"/>
    <w:rsid w:val="00684144"/>
    <w:rsid w:val="00690317"/>
    <w:rsid w:val="006908F2"/>
    <w:rsid w:val="006931BE"/>
    <w:rsid w:val="00694394"/>
    <w:rsid w:val="00696193"/>
    <w:rsid w:val="0069661A"/>
    <w:rsid w:val="006A07D8"/>
    <w:rsid w:val="006A223C"/>
    <w:rsid w:val="006A4B5C"/>
    <w:rsid w:val="006A4FF7"/>
    <w:rsid w:val="006B225B"/>
    <w:rsid w:val="006B2F0B"/>
    <w:rsid w:val="006B2F0E"/>
    <w:rsid w:val="006B556C"/>
    <w:rsid w:val="006B721A"/>
    <w:rsid w:val="006B7379"/>
    <w:rsid w:val="006C0627"/>
    <w:rsid w:val="006C0F65"/>
    <w:rsid w:val="006C106B"/>
    <w:rsid w:val="006C1C87"/>
    <w:rsid w:val="006C2D30"/>
    <w:rsid w:val="006C499C"/>
    <w:rsid w:val="006C559C"/>
    <w:rsid w:val="006C696D"/>
    <w:rsid w:val="006D0106"/>
    <w:rsid w:val="006D2350"/>
    <w:rsid w:val="006D4273"/>
    <w:rsid w:val="006D4B8D"/>
    <w:rsid w:val="006D5DD6"/>
    <w:rsid w:val="006D5F9C"/>
    <w:rsid w:val="006E14E2"/>
    <w:rsid w:val="006E195A"/>
    <w:rsid w:val="006E37B7"/>
    <w:rsid w:val="006E4316"/>
    <w:rsid w:val="006E48BC"/>
    <w:rsid w:val="006E4B80"/>
    <w:rsid w:val="006E55AD"/>
    <w:rsid w:val="006E60D3"/>
    <w:rsid w:val="006F05C2"/>
    <w:rsid w:val="006F0863"/>
    <w:rsid w:val="006F2910"/>
    <w:rsid w:val="006F4663"/>
    <w:rsid w:val="006F4CC8"/>
    <w:rsid w:val="00700474"/>
    <w:rsid w:val="00700664"/>
    <w:rsid w:val="00701D7B"/>
    <w:rsid w:val="00702870"/>
    <w:rsid w:val="007053C3"/>
    <w:rsid w:val="00706EC4"/>
    <w:rsid w:val="007132EB"/>
    <w:rsid w:val="007167E4"/>
    <w:rsid w:val="007170B1"/>
    <w:rsid w:val="00717FB9"/>
    <w:rsid w:val="007214E8"/>
    <w:rsid w:val="00722017"/>
    <w:rsid w:val="00730C61"/>
    <w:rsid w:val="007312FB"/>
    <w:rsid w:val="00733376"/>
    <w:rsid w:val="007340B9"/>
    <w:rsid w:val="00734853"/>
    <w:rsid w:val="00734C2F"/>
    <w:rsid w:val="0073600B"/>
    <w:rsid w:val="00737C4E"/>
    <w:rsid w:val="00740B42"/>
    <w:rsid w:val="00740CA4"/>
    <w:rsid w:val="00742E71"/>
    <w:rsid w:val="007452C3"/>
    <w:rsid w:val="0074537D"/>
    <w:rsid w:val="00745DA7"/>
    <w:rsid w:val="00752B4D"/>
    <w:rsid w:val="007537CE"/>
    <w:rsid w:val="00754C93"/>
    <w:rsid w:val="00754EC9"/>
    <w:rsid w:val="00755524"/>
    <w:rsid w:val="0076234D"/>
    <w:rsid w:val="00762A51"/>
    <w:rsid w:val="00767428"/>
    <w:rsid w:val="0077492E"/>
    <w:rsid w:val="00776F77"/>
    <w:rsid w:val="0077799D"/>
    <w:rsid w:val="00781F54"/>
    <w:rsid w:val="0078425C"/>
    <w:rsid w:val="0078471B"/>
    <w:rsid w:val="007860DC"/>
    <w:rsid w:val="007873C1"/>
    <w:rsid w:val="00790517"/>
    <w:rsid w:val="0079130E"/>
    <w:rsid w:val="0079721C"/>
    <w:rsid w:val="007A1C3B"/>
    <w:rsid w:val="007A464A"/>
    <w:rsid w:val="007A684C"/>
    <w:rsid w:val="007B2C39"/>
    <w:rsid w:val="007B3C12"/>
    <w:rsid w:val="007B4E98"/>
    <w:rsid w:val="007B5D58"/>
    <w:rsid w:val="007B7A6A"/>
    <w:rsid w:val="007C0816"/>
    <w:rsid w:val="007C1253"/>
    <w:rsid w:val="007C275E"/>
    <w:rsid w:val="007C2FE2"/>
    <w:rsid w:val="007C38D1"/>
    <w:rsid w:val="007C50B5"/>
    <w:rsid w:val="007C56B9"/>
    <w:rsid w:val="007C6567"/>
    <w:rsid w:val="007D1AB1"/>
    <w:rsid w:val="007D23AE"/>
    <w:rsid w:val="007D63C9"/>
    <w:rsid w:val="007E1724"/>
    <w:rsid w:val="007E1E29"/>
    <w:rsid w:val="007E2F3A"/>
    <w:rsid w:val="007E3227"/>
    <w:rsid w:val="007E5260"/>
    <w:rsid w:val="007E55DE"/>
    <w:rsid w:val="007E55F6"/>
    <w:rsid w:val="007F3565"/>
    <w:rsid w:val="007F541A"/>
    <w:rsid w:val="007F6833"/>
    <w:rsid w:val="007F6FB7"/>
    <w:rsid w:val="007F76EA"/>
    <w:rsid w:val="007F7983"/>
    <w:rsid w:val="0080296B"/>
    <w:rsid w:val="00811B81"/>
    <w:rsid w:val="00813B11"/>
    <w:rsid w:val="008172E0"/>
    <w:rsid w:val="00820F81"/>
    <w:rsid w:val="00822F8D"/>
    <w:rsid w:val="00826B60"/>
    <w:rsid w:val="00827C5C"/>
    <w:rsid w:val="00831762"/>
    <w:rsid w:val="008333A2"/>
    <w:rsid w:val="00841373"/>
    <w:rsid w:val="0084150C"/>
    <w:rsid w:val="008417AA"/>
    <w:rsid w:val="0084260C"/>
    <w:rsid w:val="008454A2"/>
    <w:rsid w:val="00846BFC"/>
    <w:rsid w:val="00846F6B"/>
    <w:rsid w:val="00847F63"/>
    <w:rsid w:val="0085145F"/>
    <w:rsid w:val="008517D8"/>
    <w:rsid w:val="008518A7"/>
    <w:rsid w:val="00854F7C"/>
    <w:rsid w:val="00855645"/>
    <w:rsid w:val="00856D67"/>
    <w:rsid w:val="008574DE"/>
    <w:rsid w:val="008627B8"/>
    <w:rsid w:val="008649BD"/>
    <w:rsid w:val="00867D2C"/>
    <w:rsid w:val="00870B5D"/>
    <w:rsid w:val="00870E03"/>
    <w:rsid w:val="00873FCE"/>
    <w:rsid w:val="008761B1"/>
    <w:rsid w:val="008777F9"/>
    <w:rsid w:val="008843EC"/>
    <w:rsid w:val="00884CEE"/>
    <w:rsid w:val="0088558C"/>
    <w:rsid w:val="00885846"/>
    <w:rsid w:val="008868EA"/>
    <w:rsid w:val="00890E84"/>
    <w:rsid w:val="00893DE1"/>
    <w:rsid w:val="008A3C68"/>
    <w:rsid w:val="008A566D"/>
    <w:rsid w:val="008A6964"/>
    <w:rsid w:val="008A6FB4"/>
    <w:rsid w:val="008B2F24"/>
    <w:rsid w:val="008B2FA4"/>
    <w:rsid w:val="008B3E15"/>
    <w:rsid w:val="008B4ED2"/>
    <w:rsid w:val="008B77DB"/>
    <w:rsid w:val="008B7AAB"/>
    <w:rsid w:val="008C2587"/>
    <w:rsid w:val="008C2A72"/>
    <w:rsid w:val="008C2E0A"/>
    <w:rsid w:val="008C538B"/>
    <w:rsid w:val="008C5E90"/>
    <w:rsid w:val="008C6292"/>
    <w:rsid w:val="008C7995"/>
    <w:rsid w:val="008C7C2F"/>
    <w:rsid w:val="008D67F6"/>
    <w:rsid w:val="008D7E12"/>
    <w:rsid w:val="008E12EC"/>
    <w:rsid w:val="008E132D"/>
    <w:rsid w:val="008E14D7"/>
    <w:rsid w:val="008E152D"/>
    <w:rsid w:val="008E2182"/>
    <w:rsid w:val="008E247C"/>
    <w:rsid w:val="008E2A92"/>
    <w:rsid w:val="008E3483"/>
    <w:rsid w:val="008E38B6"/>
    <w:rsid w:val="008E5239"/>
    <w:rsid w:val="008E5903"/>
    <w:rsid w:val="008E5D0E"/>
    <w:rsid w:val="008E657A"/>
    <w:rsid w:val="008E74DB"/>
    <w:rsid w:val="008F0780"/>
    <w:rsid w:val="008F0EFB"/>
    <w:rsid w:val="008F0F58"/>
    <w:rsid w:val="008F183A"/>
    <w:rsid w:val="008F1B2F"/>
    <w:rsid w:val="008F344D"/>
    <w:rsid w:val="008F4C48"/>
    <w:rsid w:val="008F6B07"/>
    <w:rsid w:val="008F6D9F"/>
    <w:rsid w:val="00901406"/>
    <w:rsid w:val="0090301E"/>
    <w:rsid w:val="009042B7"/>
    <w:rsid w:val="0090464E"/>
    <w:rsid w:val="00907CE7"/>
    <w:rsid w:val="0091167D"/>
    <w:rsid w:val="00912D95"/>
    <w:rsid w:val="00913F30"/>
    <w:rsid w:val="0091401B"/>
    <w:rsid w:val="00914FAE"/>
    <w:rsid w:val="00915D8E"/>
    <w:rsid w:val="00917110"/>
    <w:rsid w:val="00922851"/>
    <w:rsid w:val="00922BBF"/>
    <w:rsid w:val="00924DD1"/>
    <w:rsid w:val="009253A0"/>
    <w:rsid w:val="00925B9A"/>
    <w:rsid w:val="00925DB8"/>
    <w:rsid w:val="00926E82"/>
    <w:rsid w:val="009305E2"/>
    <w:rsid w:val="00931123"/>
    <w:rsid w:val="00932A5B"/>
    <w:rsid w:val="00932E06"/>
    <w:rsid w:val="009339D6"/>
    <w:rsid w:val="00934436"/>
    <w:rsid w:val="009347CC"/>
    <w:rsid w:val="00934DBA"/>
    <w:rsid w:val="009356CD"/>
    <w:rsid w:val="00940E02"/>
    <w:rsid w:val="009422AF"/>
    <w:rsid w:val="00942E8C"/>
    <w:rsid w:val="00943025"/>
    <w:rsid w:val="00943276"/>
    <w:rsid w:val="00943B8E"/>
    <w:rsid w:val="00950387"/>
    <w:rsid w:val="00950DA6"/>
    <w:rsid w:val="00950EA0"/>
    <w:rsid w:val="00955FA8"/>
    <w:rsid w:val="0096058D"/>
    <w:rsid w:val="0096078D"/>
    <w:rsid w:val="009623B7"/>
    <w:rsid w:val="009625E7"/>
    <w:rsid w:val="00962CAC"/>
    <w:rsid w:val="00962FD4"/>
    <w:rsid w:val="00963FBA"/>
    <w:rsid w:val="00964EC4"/>
    <w:rsid w:val="00964F70"/>
    <w:rsid w:val="009730D8"/>
    <w:rsid w:val="0097330F"/>
    <w:rsid w:val="0097537C"/>
    <w:rsid w:val="00976B0C"/>
    <w:rsid w:val="009778F9"/>
    <w:rsid w:val="00977F86"/>
    <w:rsid w:val="0098012D"/>
    <w:rsid w:val="009809F0"/>
    <w:rsid w:val="00980A36"/>
    <w:rsid w:val="00980D4A"/>
    <w:rsid w:val="0098102A"/>
    <w:rsid w:val="00984A1F"/>
    <w:rsid w:val="00985522"/>
    <w:rsid w:val="00986446"/>
    <w:rsid w:val="00986899"/>
    <w:rsid w:val="00991255"/>
    <w:rsid w:val="009919CF"/>
    <w:rsid w:val="00991B24"/>
    <w:rsid w:val="00995ED1"/>
    <w:rsid w:val="009967C9"/>
    <w:rsid w:val="00997343"/>
    <w:rsid w:val="009973A5"/>
    <w:rsid w:val="009A087F"/>
    <w:rsid w:val="009A51D6"/>
    <w:rsid w:val="009A6916"/>
    <w:rsid w:val="009A6B5B"/>
    <w:rsid w:val="009A7A1F"/>
    <w:rsid w:val="009B1FA1"/>
    <w:rsid w:val="009B7ED9"/>
    <w:rsid w:val="009C03F7"/>
    <w:rsid w:val="009C280E"/>
    <w:rsid w:val="009C42C5"/>
    <w:rsid w:val="009C67E9"/>
    <w:rsid w:val="009D0A3F"/>
    <w:rsid w:val="009D19F7"/>
    <w:rsid w:val="009D2605"/>
    <w:rsid w:val="009D2FA3"/>
    <w:rsid w:val="009D48A8"/>
    <w:rsid w:val="009D5F18"/>
    <w:rsid w:val="009D67C0"/>
    <w:rsid w:val="009D7112"/>
    <w:rsid w:val="009E02DE"/>
    <w:rsid w:val="009E22E2"/>
    <w:rsid w:val="009E3B45"/>
    <w:rsid w:val="009E44DC"/>
    <w:rsid w:val="009E461C"/>
    <w:rsid w:val="009E6B84"/>
    <w:rsid w:val="009F1370"/>
    <w:rsid w:val="009F2941"/>
    <w:rsid w:val="009F3C2A"/>
    <w:rsid w:val="009F4424"/>
    <w:rsid w:val="009F5BC8"/>
    <w:rsid w:val="009F6C74"/>
    <w:rsid w:val="00A0291D"/>
    <w:rsid w:val="00A02B81"/>
    <w:rsid w:val="00A039CD"/>
    <w:rsid w:val="00A07B02"/>
    <w:rsid w:val="00A07C59"/>
    <w:rsid w:val="00A10EDC"/>
    <w:rsid w:val="00A10F7C"/>
    <w:rsid w:val="00A13144"/>
    <w:rsid w:val="00A1318F"/>
    <w:rsid w:val="00A132FE"/>
    <w:rsid w:val="00A1379A"/>
    <w:rsid w:val="00A13C79"/>
    <w:rsid w:val="00A14015"/>
    <w:rsid w:val="00A16900"/>
    <w:rsid w:val="00A17D7E"/>
    <w:rsid w:val="00A208F5"/>
    <w:rsid w:val="00A23755"/>
    <w:rsid w:val="00A240BC"/>
    <w:rsid w:val="00A24588"/>
    <w:rsid w:val="00A2581B"/>
    <w:rsid w:val="00A26340"/>
    <w:rsid w:val="00A277B0"/>
    <w:rsid w:val="00A27983"/>
    <w:rsid w:val="00A3108F"/>
    <w:rsid w:val="00A32793"/>
    <w:rsid w:val="00A32A18"/>
    <w:rsid w:val="00A37620"/>
    <w:rsid w:val="00A37821"/>
    <w:rsid w:val="00A37F85"/>
    <w:rsid w:val="00A403C9"/>
    <w:rsid w:val="00A40491"/>
    <w:rsid w:val="00A40B8F"/>
    <w:rsid w:val="00A41604"/>
    <w:rsid w:val="00A4389A"/>
    <w:rsid w:val="00A442C4"/>
    <w:rsid w:val="00A44661"/>
    <w:rsid w:val="00A44788"/>
    <w:rsid w:val="00A460A2"/>
    <w:rsid w:val="00A468D5"/>
    <w:rsid w:val="00A47599"/>
    <w:rsid w:val="00A47E8C"/>
    <w:rsid w:val="00A51539"/>
    <w:rsid w:val="00A51EB1"/>
    <w:rsid w:val="00A543A0"/>
    <w:rsid w:val="00A55282"/>
    <w:rsid w:val="00A55464"/>
    <w:rsid w:val="00A60129"/>
    <w:rsid w:val="00A60DA8"/>
    <w:rsid w:val="00A6191F"/>
    <w:rsid w:val="00A63F54"/>
    <w:rsid w:val="00A6430E"/>
    <w:rsid w:val="00A65A0B"/>
    <w:rsid w:val="00A66293"/>
    <w:rsid w:val="00A71957"/>
    <w:rsid w:val="00A72951"/>
    <w:rsid w:val="00A72DAD"/>
    <w:rsid w:val="00A73C6B"/>
    <w:rsid w:val="00A7590B"/>
    <w:rsid w:val="00A8200A"/>
    <w:rsid w:val="00A82FFA"/>
    <w:rsid w:val="00A90751"/>
    <w:rsid w:val="00A90D8E"/>
    <w:rsid w:val="00A91BDA"/>
    <w:rsid w:val="00A91E43"/>
    <w:rsid w:val="00A921FE"/>
    <w:rsid w:val="00A929A6"/>
    <w:rsid w:val="00A93F76"/>
    <w:rsid w:val="00A94035"/>
    <w:rsid w:val="00A95A1C"/>
    <w:rsid w:val="00A97407"/>
    <w:rsid w:val="00A974D9"/>
    <w:rsid w:val="00AA3C45"/>
    <w:rsid w:val="00AA3F0F"/>
    <w:rsid w:val="00AB05ED"/>
    <w:rsid w:val="00AD02ED"/>
    <w:rsid w:val="00AD2C60"/>
    <w:rsid w:val="00AD3801"/>
    <w:rsid w:val="00AD6F2C"/>
    <w:rsid w:val="00AD70D8"/>
    <w:rsid w:val="00AE07F1"/>
    <w:rsid w:val="00AE241F"/>
    <w:rsid w:val="00AE2BD2"/>
    <w:rsid w:val="00AE3070"/>
    <w:rsid w:val="00AE3DA3"/>
    <w:rsid w:val="00AE4A09"/>
    <w:rsid w:val="00AF1730"/>
    <w:rsid w:val="00AF1CAD"/>
    <w:rsid w:val="00AF223C"/>
    <w:rsid w:val="00AF5466"/>
    <w:rsid w:val="00AF639B"/>
    <w:rsid w:val="00AF686B"/>
    <w:rsid w:val="00AF6D1C"/>
    <w:rsid w:val="00AF7179"/>
    <w:rsid w:val="00B01FBD"/>
    <w:rsid w:val="00B04E99"/>
    <w:rsid w:val="00B10D10"/>
    <w:rsid w:val="00B1292D"/>
    <w:rsid w:val="00B150F9"/>
    <w:rsid w:val="00B15E66"/>
    <w:rsid w:val="00B161B7"/>
    <w:rsid w:val="00B166D9"/>
    <w:rsid w:val="00B17509"/>
    <w:rsid w:val="00B17A73"/>
    <w:rsid w:val="00B211B3"/>
    <w:rsid w:val="00B22032"/>
    <w:rsid w:val="00B227C6"/>
    <w:rsid w:val="00B22D5B"/>
    <w:rsid w:val="00B243C7"/>
    <w:rsid w:val="00B25F2D"/>
    <w:rsid w:val="00B26B10"/>
    <w:rsid w:val="00B27804"/>
    <w:rsid w:val="00B318C2"/>
    <w:rsid w:val="00B3360C"/>
    <w:rsid w:val="00B34DEA"/>
    <w:rsid w:val="00B352F9"/>
    <w:rsid w:val="00B36964"/>
    <w:rsid w:val="00B4079D"/>
    <w:rsid w:val="00B414CD"/>
    <w:rsid w:val="00B420AA"/>
    <w:rsid w:val="00B45168"/>
    <w:rsid w:val="00B45E7F"/>
    <w:rsid w:val="00B47C54"/>
    <w:rsid w:val="00B50374"/>
    <w:rsid w:val="00B50BB3"/>
    <w:rsid w:val="00B50BD7"/>
    <w:rsid w:val="00B53010"/>
    <w:rsid w:val="00B53F95"/>
    <w:rsid w:val="00B55CE4"/>
    <w:rsid w:val="00B6015D"/>
    <w:rsid w:val="00B6327E"/>
    <w:rsid w:val="00B6338C"/>
    <w:rsid w:val="00B64C0E"/>
    <w:rsid w:val="00B6511C"/>
    <w:rsid w:val="00B66697"/>
    <w:rsid w:val="00B702C3"/>
    <w:rsid w:val="00B7032D"/>
    <w:rsid w:val="00B71574"/>
    <w:rsid w:val="00B721A1"/>
    <w:rsid w:val="00B7307E"/>
    <w:rsid w:val="00B74B1D"/>
    <w:rsid w:val="00B77768"/>
    <w:rsid w:val="00B77AE2"/>
    <w:rsid w:val="00B82423"/>
    <w:rsid w:val="00B8269A"/>
    <w:rsid w:val="00B829F7"/>
    <w:rsid w:val="00B83AB0"/>
    <w:rsid w:val="00B84059"/>
    <w:rsid w:val="00B852BC"/>
    <w:rsid w:val="00B8686D"/>
    <w:rsid w:val="00B8767E"/>
    <w:rsid w:val="00B906EF"/>
    <w:rsid w:val="00B950B9"/>
    <w:rsid w:val="00B953F9"/>
    <w:rsid w:val="00B9561C"/>
    <w:rsid w:val="00B97EC5"/>
    <w:rsid w:val="00BA0004"/>
    <w:rsid w:val="00BA17B7"/>
    <w:rsid w:val="00BA2255"/>
    <w:rsid w:val="00BA2A1E"/>
    <w:rsid w:val="00BA3324"/>
    <w:rsid w:val="00BA3D2B"/>
    <w:rsid w:val="00BA6E45"/>
    <w:rsid w:val="00BB3254"/>
    <w:rsid w:val="00BB42C6"/>
    <w:rsid w:val="00BB42E5"/>
    <w:rsid w:val="00BB4431"/>
    <w:rsid w:val="00BB4E9F"/>
    <w:rsid w:val="00BB5C43"/>
    <w:rsid w:val="00BC06C9"/>
    <w:rsid w:val="00BC1502"/>
    <w:rsid w:val="00BC2E87"/>
    <w:rsid w:val="00BC3BED"/>
    <w:rsid w:val="00BC4D28"/>
    <w:rsid w:val="00BC600B"/>
    <w:rsid w:val="00BD6A68"/>
    <w:rsid w:val="00BD6F92"/>
    <w:rsid w:val="00BE21C9"/>
    <w:rsid w:val="00BE2D65"/>
    <w:rsid w:val="00BE5202"/>
    <w:rsid w:val="00BE52DB"/>
    <w:rsid w:val="00BE5567"/>
    <w:rsid w:val="00BE710F"/>
    <w:rsid w:val="00BF03CA"/>
    <w:rsid w:val="00BF0843"/>
    <w:rsid w:val="00BF1002"/>
    <w:rsid w:val="00BF3022"/>
    <w:rsid w:val="00BF593A"/>
    <w:rsid w:val="00BF7581"/>
    <w:rsid w:val="00C00EFF"/>
    <w:rsid w:val="00C03070"/>
    <w:rsid w:val="00C03388"/>
    <w:rsid w:val="00C03A37"/>
    <w:rsid w:val="00C050C7"/>
    <w:rsid w:val="00C05247"/>
    <w:rsid w:val="00C0524A"/>
    <w:rsid w:val="00C06357"/>
    <w:rsid w:val="00C10337"/>
    <w:rsid w:val="00C1072E"/>
    <w:rsid w:val="00C10CD1"/>
    <w:rsid w:val="00C10D93"/>
    <w:rsid w:val="00C11113"/>
    <w:rsid w:val="00C1132A"/>
    <w:rsid w:val="00C11475"/>
    <w:rsid w:val="00C1365C"/>
    <w:rsid w:val="00C143A4"/>
    <w:rsid w:val="00C14B88"/>
    <w:rsid w:val="00C20BA9"/>
    <w:rsid w:val="00C20DEB"/>
    <w:rsid w:val="00C23836"/>
    <w:rsid w:val="00C242B2"/>
    <w:rsid w:val="00C24929"/>
    <w:rsid w:val="00C27295"/>
    <w:rsid w:val="00C30922"/>
    <w:rsid w:val="00C31A8F"/>
    <w:rsid w:val="00C33F37"/>
    <w:rsid w:val="00C34D99"/>
    <w:rsid w:val="00C36155"/>
    <w:rsid w:val="00C37242"/>
    <w:rsid w:val="00C41C37"/>
    <w:rsid w:val="00C43A01"/>
    <w:rsid w:val="00C43BF9"/>
    <w:rsid w:val="00C45809"/>
    <w:rsid w:val="00C45E39"/>
    <w:rsid w:val="00C47743"/>
    <w:rsid w:val="00C47832"/>
    <w:rsid w:val="00C47EBE"/>
    <w:rsid w:val="00C5130A"/>
    <w:rsid w:val="00C53229"/>
    <w:rsid w:val="00C553F0"/>
    <w:rsid w:val="00C559F5"/>
    <w:rsid w:val="00C60B40"/>
    <w:rsid w:val="00C60F3D"/>
    <w:rsid w:val="00C63973"/>
    <w:rsid w:val="00C67772"/>
    <w:rsid w:val="00C67B61"/>
    <w:rsid w:val="00C70A4E"/>
    <w:rsid w:val="00C721C1"/>
    <w:rsid w:val="00C72627"/>
    <w:rsid w:val="00C72E85"/>
    <w:rsid w:val="00C7575B"/>
    <w:rsid w:val="00C7697D"/>
    <w:rsid w:val="00C77EA1"/>
    <w:rsid w:val="00C8216B"/>
    <w:rsid w:val="00C82B07"/>
    <w:rsid w:val="00C82D95"/>
    <w:rsid w:val="00C84C50"/>
    <w:rsid w:val="00C87D85"/>
    <w:rsid w:val="00C928FE"/>
    <w:rsid w:val="00C92AC2"/>
    <w:rsid w:val="00C93DBE"/>
    <w:rsid w:val="00C93E90"/>
    <w:rsid w:val="00C94D37"/>
    <w:rsid w:val="00C94EC9"/>
    <w:rsid w:val="00C95834"/>
    <w:rsid w:val="00C96BB9"/>
    <w:rsid w:val="00CA0050"/>
    <w:rsid w:val="00CA176B"/>
    <w:rsid w:val="00CA25F3"/>
    <w:rsid w:val="00CA4A47"/>
    <w:rsid w:val="00CA5A8B"/>
    <w:rsid w:val="00CA5D57"/>
    <w:rsid w:val="00CA7422"/>
    <w:rsid w:val="00CA7F27"/>
    <w:rsid w:val="00CA7F7E"/>
    <w:rsid w:val="00CB1691"/>
    <w:rsid w:val="00CB1ECF"/>
    <w:rsid w:val="00CB2059"/>
    <w:rsid w:val="00CB2EAC"/>
    <w:rsid w:val="00CB3D50"/>
    <w:rsid w:val="00CB4F1A"/>
    <w:rsid w:val="00CB6C9F"/>
    <w:rsid w:val="00CC0088"/>
    <w:rsid w:val="00CC2386"/>
    <w:rsid w:val="00CC2978"/>
    <w:rsid w:val="00CC34B9"/>
    <w:rsid w:val="00CC4540"/>
    <w:rsid w:val="00CD084B"/>
    <w:rsid w:val="00CD34C4"/>
    <w:rsid w:val="00CD4094"/>
    <w:rsid w:val="00CD602C"/>
    <w:rsid w:val="00CD6E70"/>
    <w:rsid w:val="00CE04F7"/>
    <w:rsid w:val="00CE1B55"/>
    <w:rsid w:val="00CE1FE8"/>
    <w:rsid w:val="00CF0132"/>
    <w:rsid w:val="00CF0ECF"/>
    <w:rsid w:val="00CF1B7F"/>
    <w:rsid w:val="00CF1F06"/>
    <w:rsid w:val="00CF3D4B"/>
    <w:rsid w:val="00CF4F70"/>
    <w:rsid w:val="00CF62BD"/>
    <w:rsid w:val="00CF6AD5"/>
    <w:rsid w:val="00D01478"/>
    <w:rsid w:val="00D029AE"/>
    <w:rsid w:val="00D0304E"/>
    <w:rsid w:val="00D05398"/>
    <w:rsid w:val="00D06288"/>
    <w:rsid w:val="00D068CB"/>
    <w:rsid w:val="00D0698C"/>
    <w:rsid w:val="00D12935"/>
    <w:rsid w:val="00D12CEF"/>
    <w:rsid w:val="00D14B91"/>
    <w:rsid w:val="00D15A3E"/>
    <w:rsid w:val="00D15C11"/>
    <w:rsid w:val="00D1660A"/>
    <w:rsid w:val="00D17125"/>
    <w:rsid w:val="00D173BC"/>
    <w:rsid w:val="00D20A0B"/>
    <w:rsid w:val="00D20C21"/>
    <w:rsid w:val="00D21D3D"/>
    <w:rsid w:val="00D239D0"/>
    <w:rsid w:val="00D262F2"/>
    <w:rsid w:val="00D26768"/>
    <w:rsid w:val="00D270E9"/>
    <w:rsid w:val="00D27728"/>
    <w:rsid w:val="00D316A7"/>
    <w:rsid w:val="00D3177E"/>
    <w:rsid w:val="00D3505F"/>
    <w:rsid w:val="00D42293"/>
    <w:rsid w:val="00D42E17"/>
    <w:rsid w:val="00D50401"/>
    <w:rsid w:val="00D51A0D"/>
    <w:rsid w:val="00D51E9D"/>
    <w:rsid w:val="00D530A0"/>
    <w:rsid w:val="00D55FDF"/>
    <w:rsid w:val="00D62F1C"/>
    <w:rsid w:val="00D6349D"/>
    <w:rsid w:val="00D63BA9"/>
    <w:rsid w:val="00D66C82"/>
    <w:rsid w:val="00D67B6E"/>
    <w:rsid w:val="00D71E56"/>
    <w:rsid w:val="00D72366"/>
    <w:rsid w:val="00D723F9"/>
    <w:rsid w:val="00D73030"/>
    <w:rsid w:val="00D746FA"/>
    <w:rsid w:val="00D76156"/>
    <w:rsid w:val="00D767DC"/>
    <w:rsid w:val="00D81A74"/>
    <w:rsid w:val="00D823D3"/>
    <w:rsid w:val="00D83F68"/>
    <w:rsid w:val="00D87CD5"/>
    <w:rsid w:val="00D87EA0"/>
    <w:rsid w:val="00D9024E"/>
    <w:rsid w:val="00D90290"/>
    <w:rsid w:val="00D909B6"/>
    <w:rsid w:val="00D925F7"/>
    <w:rsid w:val="00D92EB8"/>
    <w:rsid w:val="00D94074"/>
    <w:rsid w:val="00D9586A"/>
    <w:rsid w:val="00D96B27"/>
    <w:rsid w:val="00D96B46"/>
    <w:rsid w:val="00D97107"/>
    <w:rsid w:val="00DA3AFE"/>
    <w:rsid w:val="00DA521D"/>
    <w:rsid w:val="00DA6938"/>
    <w:rsid w:val="00DB0D1E"/>
    <w:rsid w:val="00DB4A67"/>
    <w:rsid w:val="00DB510F"/>
    <w:rsid w:val="00DB6490"/>
    <w:rsid w:val="00DB6D41"/>
    <w:rsid w:val="00DC3632"/>
    <w:rsid w:val="00DC5616"/>
    <w:rsid w:val="00DC5887"/>
    <w:rsid w:val="00DC78BD"/>
    <w:rsid w:val="00DC7F46"/>
    <w:rsid w:val="00DD013B"/>
    <w:rsid w:val="00DD164A"/>
    <w:rsid w:val="00DD1B63"/>
    <w:rsid w:val="00DD217F"/>
    <w:rsid w:val="00DD32F9"/>
    <w:rsid w:val="00DD7972"/>
    <w:rsid w:val="00DD7A69"/>
    <w:rsid w:val="00DE002D"/>
    <w:rsid w:val="00DE17BB"/>
    <w:rsid w:val="00DE1E7D"/>
    <w:rsid w:val="00DE225E"/>
    <w:rsid w:val="00DE5906"/>
    <w:rsid w:val="00DE79E6"/>
    <w:rsid w:val="00DF0446"/>
    <w:rsid w:val="00DF1B80"/>
    <w:rsid w:val="00DF2395"/>
    <w:rsid w:val="00DF26AE"/>
    <w:rsid w:val="00DF29DA"/>
    <w:rsid w:val="00DF45A4"/>
    <w:rsid w:val="00DF4D93"/>
    <w:rsid w:val="00DF5C22"/>
    <w:rsid w:val="00DF639D"/>
    <w:rsid w:val="00DF6C28"/>
    <w:rsid w:val="00DF71A4"/>
    <w:rsid w:val="00DF79B8"/>
    <w:rsid w:val="00E00299"/>
    <w:rsid w:val="00E02721"/>
    <w:rsid w:val="00E04331"/>
    <w:rsid w:val="00E05254"/>
    <w:rsid w:val="00E068B9"/>
    <w:rsid w:val="00E10CF3"/>
    <w:rsid w:val="00E1107C"/>
    <w:rsid w:val="00E11CEA"/>
    <w:rsid w:val="00E13184"/>
    <w:rsid w:val="00E14536"/>
    <w:rsid w:val="00E16279"/>
    <w:rsid w:val="00E21F1F"/>
    <w:rsid w:val="00E26B4B"/>
    <w:rsid w:val="00E26D64"/>
    <w:rsid w:val="00E30466"/>
    <w:rsid w:val="00E30E44"/>
    <w:rsid w:val="00E3113C"/>
    <w:rsid w:val="00E321AF"/>
    <w:rsid w:val="00E33BF5"/>
    <w:rsid w:val="00E34C23"/>
    <w:rsid w:val="00E35E91"/>
    <w:rsid w:val="00E36878"/>
    <w:rsid w:val="00E40233"/>
    <w:rsid w:val="00E413F7"/>
    <w:rsid w:val="00E41D1A"/>
    <w:rsid w:val="00E41F5E"/>
    <w:rsid w:val="00E42546"/>
    <w:rsid w:val="00E4559C"/>
    <w:rsid w:val="00E4648A"/>
    <w:rsid w:val="00E4690B"/>
    <w:rsid w:val="00E518C6"/>
    <w:rsid w:val="00E52369"/>
    <w:rsid w:val="00E5260C"/>
    <w:rsid w:val="00E550C0"/>
    <w:rsid w:val="00E55B2D"/>
    <w:rsid w:val="00E55F6A"/>
    <w:rsid w:val="00E56178"/>
    <w:rsid w:val="00E575FC"/>
    <w:rsid w:val="00E64925"/>
    <w:rsid w:val="00E676B4"/>
    <w:rsid w:val="00E708F1"/>
    <w:rsid w:val="00E709CE"/>
    <w:rsid w:val="00E70B8D"/>
    <w:rsid w:val="00E717DE"/>
    <w:rsid w:val="00E71E61"/>
    <w:rsid w:val="00E727DC"/>
    <w:rsid w:val="00E75484"/>
    <w:rsid w:val="00E7573B"/>
    <w:rsid w:val="00E769ED"/>
    <w:rsid w:val="00E77630"/>
    <w:rsid w:val="00E801C8"/>
    <w:rsid w:val="00E80483"/>
    <w:rsid w:val="00E81C6E"/>
    <w:rsid w:val="00E9013D"/>
    <w:rsid w:val="00E9353C"/>
    <w:rsid w:val="00E93EBB"/>
    <w:rsid w:val="00E950C8"/>
    <w:rsid w:val="00EA0508"/>
    <w:rsid w:val="00EA1C42"/>
    <w:rsid w:val="00EA328E"/>
    <w:rsid w:val="00EA44D9"/>
    <w:rsid w:val="00EA56A1"/>
    <w:rsid w:val="00EB076E"/>
    <w:rsid w:val="00EB0D6B"/>
    <w:rsid w:val="00EB1D3E"/>
    <w:rsid w:val="00EB2580"/>
    <w:rsid w:val="00EB2F29"/>
    <w:rsid w:val="00EB5080"/>
    <w:rsid w:val="00EB6B96"/>
    <w:rsid w:val="00EB7FF9"/>
    <w:rsid w:val="00EC202D"/>
    <w:rsid w:val="00EC3238"/>
    <w:rsid w:val="00EC32A3"/>
    <w:rsid w:val="00EC39EB"/>
    <w:rsid w:val="00EC45BF"/>
    <w:rsid w:val="00EC5655"/>
    <w:rsid w:val="00EC71E3"/>
    <w:rsid w:val="00EC75BB"/>
    <w:rsid w:val="00ED1DC7"/>
    <w:rsid w:val="00ED2BC1"/>
    <w:rsid w:val="00ED4F17"/>
    <w:rsid w:val="00ED5A38"/>
    <w:rsid w:val="00EE009A"/>
    <w:rsid w:val="00EE1A02"/>
    <w:rsid w:val="00EE22B6"/>
    <w:rsid w:val="00EE2543"/>
    <w:rsid w:val="00EE5F58"/>
    <w:rsid w:val="00EE684D"/>
    <w:rsid w:val="00EE6B14"/>
    <w:rsid w:val="00EE7006"/>
    <w:rsid w:val="00EE7B51"/>
    <w:rsid w:val="00EF0828"/>
    <w:rsid w:val="00EF0DAC"/>
    <w:rsid w:val="00EF2377"/>
    <w:rsid w:val="00EF4DF6"/>
    <w:rsid w:val="00EF6EB3"/>
    <w:rsid w:val="00F020B3"/>
    <w:rsid w:val="00F0284A"/>
    <w:rsid w:val="00F03F1B"/>
    <w:rsid w:val="00F07A3C"/>
    <w:rsid w:val="00F07E25"/>
    <w:rsid w:val="00F10038"/>
    <w:rsid w:val="00F1109C"/>
    <w:rsid w:val="00F12100"/>
    <w:rsid w:val="00F12FA9"/>
    <w:rsid w:val="00F210B6"/>
    <w:rsid w:val="00F22D51"/>
    <w:rsid w:val="00F22F4D"/>
    <w:rsid w:val="00F231DF"/>
    <w:rsid w:val="00F25EDA"/>
    <w:rsid w:val="00F26451"/>
    <w:rsid w:val="00F27F20"/>
    <w:rsid w:val="00F3201C"/>
    <w:rsid w:val="00F32A64"/>
    <w:rsid w:val="00F36C75"/>
    <w:rsid w:val="00F4195F"/>
    <w:rsid w:val="00F47707"/>
    <w:rsid w:val="00F47E59"/>
    <w:rsid w:val="00F500B3"/>
    <w:rsid w:val="00F5015C"/>
    <w:rsid w:val="00F50264"/>
    <w:rsid w:val="00F505E3"/>
    <w:rsid w:val="00F50FB5"/>
    <w:rsid w:val="00F52957"/>
    <w:rsid w:val="00F52D9E"/>
    <w:rsid w:val="00F53561"/>
    <w:rsid w:val="00F555E2"/>
    <w:rsid w:val="00F5579C"/>
    <w:rsid w:val="00F55911"/>
    <w:rsid w:val="00F61F0F"/>
    <w:rsid w:val="00F6455D"/>
    <w:rsid w:val="00F70A37"/>
    <w:rsid w:val="00F71521"/>
    <w:rsid w:val="00F71D94"/>
    <w:rsid w:val="00F7575C"/>
    <w:rsid w:val="00F76933"/>
    <w:rsid w:val="00F773BD"/>
    <w:rsid w:val="00F81342"/>
    <w:rsid w:val="00F81953"/>
    <w:rsid w:val="00F85004"/>
    <w:rsid w:val="00F86553"/>
    <w:rsid w:val="00F87536"/>
    <w:rsid w:val="00F937E6"/>
    <w:rsid w:val="00F94BE0"/>
    <w:rsid w:val="00F96FAA"/>
    <w:rsid w:val="00F97C0F"/>
    <w:rsid w:val="00F97F85"/>
    <w:rsid w:val="00FA055E"/>
    <w:rsid w:val="00FA20C6"/>
    <w:rsid w:val="00FA5632"/>
    <w:rsid w:val="00FA67B3"/>
    <w:rsid w:val="00FB00B5"/>
    <w:rsid w:val="00FB04B8"/>
    <w:rsid w:val="00FB0CA9"/>
    <w:rsid w:val="00FB0E61"/>
    <w:rsid w:val="00FB203F"/>
    <w:rsid w:val="00FB277F"/>
    <w:rsid w:val="00FB4194"/>
    <w:rsid w:val="00FB53FD"/>
    <w:rsid w:val="00FB5E02"/>
    <w:rsid w:val="00FC1A05"/>
    <w:rsid w:val="00FC1AE6"/>
    <w:rsid w:val="00FC629C"/>
    <w:rsid w:val="00FC7719"/>
    <w:rsid w:val="00FD2937"/>
    <w:rsid w:val="00FD5570"/>
    <w:rsid w:val="00FE00FD"/>
    <w:rsid w:val="00FE15FD"/>
    <w:rsid w:val="00FE2B61"/>
    <w:rsid w:val="00FE442B"/>
    <w:rsid w:val="00FE4911"/>
    <w:rsid w:val="00FE6F31"/>
    <w:rsid w:val="00FF3877"/>
    <w:rsid w:val="00FF4036"/>
    <w:rsid w:val="00FF41A2"/>
    <w:rsid w:val="00FF4D6D"/>
    <w:rsid w:val="00FF5C9F"/>
    <w:rsid w:val="00FF68FD"/>
    <w:rsid w:val="00FF6936"/>
    <w:rsid w:val="00FF72B0"/>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9463B"/>
  <w15:chartTrackingRefBased/>
  <w15:docId w15:val="{B184DAF9-38BE-4B2B-9C84-7E206E4DC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F593A"/>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Geneva 9,Font: Geneva 9,Boston 10,f,Char,FOOTNOTES,fn,single space,ft,Footnote Text 1,Footnote Text Char Char,Footnote Text Char Char Char,Footnote Text Char2 Char,Footnote Text Char1 Char Char,ALTS FOOTNOTE,Nbpage Moens,Fußnote,Footnote"/>
    <w:basedOn w:val="Normal"/>
    <w:link w:val="FootnoteTextChar"/>
    <w:uiPriority w:val="99"/>
    <w:unhideWhenUsed/>
    <w:rsid w:val="00BF593A"/>
    <w:pPr>
      <w:spacing w:after="0" w:line="240" w:lineRule="auto"/>
    </w:pPr>
    <w:rPr>
      <w:sz w:val="20"/>
      <w:szCs w:val="20"/>
    </w:rPr>
  </w:style>
  <w:style w:type="character" w:customStyle="1" w:styleId="FootnoteTextChar">
    <w:name w:val="Footnote Text Char"/>
    <w:aliases w:val="Geneva 9 Char,Font: Geneva 9 Char,Boston 10 Char,f Char,Char Char,FOOTNOTES Char,fn Char,single space Char,ft Char,Footnote Text 1 Char,Footnote Text Char Char Char1,Footnote Text Char Char Char Char,Footnote Text Char2 Char Char"/>
    <w:basedOn w:val="DefaultParagraphFont"/>
    <w:link w:val="FootnoteText"/>
    <w:uiPriority w:val="99"/>
    <w:rsid w:val="00BF593A"/>
    <w:rPr>
      <w:sz w:val="20"/>
      <w:szCs w:val="20"/>
      <w:lang w:val="en-US"/>
    </w:rPr>
  </w:style>
  <w:style w:type="character" w:styleId="FootnoteReference">
    <w:name w:val="footnote reference"/>
    <w:aliases w:val="16 Point,Superscript 6 Point,BVI fnr,Superscript 6 Point + 11 pt,ftref, BVI fnr, BVI fnr Car Car,BVI fnr Car, BVI fnr Car Car Car Car,Footnote text,BVI fnr Car Car,BVI fnr Car Car Car Car,SUPERS,Footnote Reference Superscript,Ref,num"/>
    <w:basedOn w:val="DefaultParagraphFont"/>
    <w:link w:val="BVIfnrCarCar1CarCarCarCar"/>
    <w:uiPriority w:val="99"/>
    <w:unhideWhenUsed/>
    <w:rsid w:val="00BF593A"/>
    <w:rPr>
      <w:vertAlign w:val="superscript"/>
    </w:rPr>
  </w:style>
  <w:style w:type="paragraph" w:styleId="NoSpacing">
    <w:name w:val="No Spacing"/>
    <w:link w:val="NoSpacingChar"/>
    <w:uiPriority w:val="1"/>
    <w:qFormat/>
    <w:rsid w:val="00BF593A"/>
    <w:pPr>
      <w:spacing w:after="0" w:line="240" w:lineRule="auto"/>
    </w:pPr>
    <w:rPr>
      <w:lang w:val="en-US"/>
    </w:rPr>
  </w:style>
  <w:style w:type="character" w:customStyle="1" w:styleId="NoSpacingChar">
    <w:name w:val="No Spacing Char"/>
    <w:basedOn w:val="DefaultParagraphFont"/>
    <w:link w:val="NoSpacing"/>
    <w:uiPriority w:val="1"/>
    <w:rsid w:val="00BF593A"/>
    <w:rPr>
      <w:lang w:val="en-US"/>
    </w:rPr>
  </w:style>
  <w:style w:type="paragraph" w:styleId="Caption">
    <w:name w:val="caption"/>
    <w:basedOn w:val="Normal"/>
    <w:next w:val="Normal"/>
    <w:uiPriority w:val="35"/>
    <w:unhideWhenUsed/>
    <w:qFormat/>
    <w:rsid w:val="00BF593A"/>
    <w:pPr>
      <w:spacing w:line="240" w:lineRule="auto"/>
    </w:pPr>
    <w:rPr>
      <w:b/>
      <w:bCs/>
      <w:color w:val="4472C4" w:themeColor="accent1"/>
      <w:sz w:val="18"/>
      <w:szCs w:val="18"/>
    </w:rPr>
  </w:style>
  <w:style w:type="paragraph" w:customStyle="1" w:styleId="11">
    <w:name w:val="1.1"/>
    <w:basedOn w:val="Normal"/>
    <w:link w:val="11Char"/>
    <w:qFormat/>
    <w:rsid w:val="00C7575B"/>
    <w:pPr>
      <w:spacing w:after="0" w:line="240" w:lineRule="auto"/>
    </w:pPr>
    <w:rPr>
      <w:sz w:val="32"/>
      <w:szCs w:val="32"/>
    </w:rPr>
  </w:style>
  <w:style w:type="character" w:customStyle="1" w:styleId="11Char">
    <w:name w:val="1.1 Char"/>
    <w:basedOn w:val="DefaultParagraphFont"/>
    <w:link w:val="11"/>
    <w:rsid w:val="00C7575B"/>
    <w:rPr>
      <w:sz w:val="32"/>
      <w:szCs w:val="32"/>
      <w:lang w:val="en-US"/>
    </w:rPr>
  </w:style>
  <w:style w:type="table" w:customStyle="1" w:styleId="5">
    <w:name w:val="5"/>
    <w:basedOn w:val="TableNormal"/>
    <w:rsid w:val="00BF593A"/>
    <w:pPr>
      <w:spacing w:after="0" w:line="276" w:lineRule="auto"/>
    </w:pPr>
    <w:rPr>
      <w:rFonts w:ascii="Times New Roman" w:eastAsia="Times New Roman" w:hAnsi="Times New Roman" w:cs="Times New Roman"/>
      <w:color w:val="000000"/>
      <w:lang w:val="en-US"/>
    </w:rPr>
    <w:tblPr>
      <w:tblStyleRowBandSize w:val="1"/>
      <w:tblStyleColBandSize w:val="1"/>
    </w:tblPr>
  </w:style>
  <w:style w:type="paragraph" w:customStyle="1" w:styleId="xxx">
    <w:name w:val="x.x.x"/>
    <w:basedOn w:val="Normal"/>
    <w:link w:val="xxxChar"/>
    <w:qFormat/>
    <w:rsid w:val="00730C61"/>
    <w:pPr>
      <w:keepNext/>
      <w:keepLines/>
      <w:spacing w:before="200" w:after="0"/>
      <w:outlineLvl w:val="3"/>
    </w:pPr>
    <w:rPr>
      <w:rFonts w:asciiTheme="majorHAnsi" w:eastAsiaTheme="majorEastAsia" w:hAnsiTheme="majorHAnsi" w:cstheme="majorBidi"/>
      <w:b/>
      <w:bCs/>
    </w:rPr>
  </w:style>
  <w:style w:type="character" w:customStyle="1" w:styleId="xxxChar">
    <w:name w:val="x.x.x Char"/>
    <w:basedOn w:val="DefaultParagraphFont"/>
    <w:link w:val="xxx"/>
    <w:rsid w:val="00730C61"/>
    <w:rPr>
      <w:rFonts w:asciiTheme="majorHAnsi" w:eastAsiaTheme="majorEastAsia" w:hAnsiTheme="majorHAnsi" w:cstheme="majorBidi"/>
      <w:b/>
      <w:bCs/>
      <w:lang w:val="en-US"/>
    </w:rPr>
  </w:style>
  <w:style w:type="paragraph" w:customStyle="1" w:styleId="BVIfnrCarCar1CarCarCarCar">
    <w:name w:val="BVI fnr Car Car1 Car Car Car Car"/>
    <w:aliases w:val="BVI fnr Car Car Car Car1 Car Car Car Car,BVI fnr Car Car Car Car1 Car1 Car Car,BVI fnr Car Car Car Car Car Car Car Car Car Car"/>
    <w:basedOn w:val="Normal"/>
    <w:link w:val="FootnoteReference"/>
    <w:uiPriority w:val="99"/>
    <w:rsid w:val="00BF593A"/>
    <w:pPr>
      <w:spacing w:after="160" w:line="240" w:lineRule="exact"/>
      <w:jc w:val="both"/>
    </w:pPr>
    <w:rPr>
      <w:vertAlign w:val="superscript"/>
      <w:lang w:val="es-PE"/>
    </w:rPr>
  </w:style>
  <w:style w:type="paragraph" w:styleId="ListParagraph">
    <w:name w:val="List Paragraph"/>
    <w:aliases w:val="Akapit z listą BS,Bullet1"/>
    <w:basedOn w:val="Normal"/>
    <w:link w:val="ListParagraphChar"/>
    <w:uiPriority w:val="34"/>
    <w:qFormat/>
    <w:rsid w:val="00BF593A"/>
    <w:pPr>
      <w:ind w:left="720"/>
      <w:contextualSpacing/>
    </w:pPr>
  </w:style>
  <w:style w:type="character" w:styleId="CommentReference">
    <w:name w:val="annotation reference"/>
    <w:basedOn w:val="DefaultParagraphFont"/>
    <w:uiPriority w:val="99"/>
    <w:semiHidden/>
    <w:unhideWhenUsed/>
    <w:rsid w:val="00BF593A"/>
    <w:rPr>
      <w:sz w:val="16"/>
      <w:szCs w:val="16"/>
    </w:rPr>
  </w:style>
  <w:style w:type="paragraph" w:styleId="CommentText">
    <w:name w:val="annotation text"/>
    <w:basedOn w:val="Normal"/>
    <w:link w:val="CommentTextChar"/>
    <w:uiPriority w:val="99"/>
    <w:semiHidden/>
    <w:unhideWhenUsed/>
    <w:rsid w:val="00BF593A"/>
    <w:pPr>
      <w:spacing w:line="240" w:lineRule="auto"/>
    </w:pPr>
    <w:rPr>
      <w:sz w:val="20"/>
      <w:szCs w:val="20"/>
    </w:rPr>
  </w:style>
  <w:style w:type="character" w:customStyle="1" w:styleId="CommentTextChar">
    <w:name w:val="Comment Text Char"/>
    <w:basedOn w:val="DefaultParagraphFont"/>
    <w:link w:val="CommentText"/>
    <w:uiPriority w:val="99"/>
    <w:semiHidden/>
    <w:rsid w:val="00BF593A"/>
    <w:rPr>
      <w:sz w:val="20"/>
      <w:szCs w:val="20"/>
      <w:lang w:val="en-US"/>
    </w:rPr>
  </w:style>
  <w:style w:type="paragraph" w:styleId="CommentSubject">
    <w:name w:val="annotation subject"/>
    <w:basedOn w:val="CommentText"/>
    <w:next w:val="CommentText"/>
    <w:link w:val="CommentSubjectChar"/>
    <w:uiPriority w:val="99"/>
    <w:semiHidden/>
    <w:unhideWhenUsed/>
    <w:rsid w:val="00BF593A"/>
    <w:rPr>
      <w:b/>
      <w:bCs/>
    </w:rPr>
  </w:style>
  <w:style w:type="character" w:customStyle="1" w:styleId="CommentSubjectChar">
    <w:name w:val="Comment Subject Char"/>
    <w:basedOn w:val="CommentTextChar"/>
    <w:link w:val="CommentSubject"/>
    <w:uiPriority w:val="99"/>
    <w:semiHidden/>
    <w:rsid w:val="00BF593A"/>
    <w:rPr>
      <w:b/>
      <w:bCs/>
      <w:sz w:val="20"/>
      <w:szCs w:val="20"/>
      <w:lang w:val="en-US"/>
    </w:rPr>
  </w:style>
  <w:style w:type="paragraph" w:styleId="BalloonText">
    <w:name w:val="Balloon Text"/>
    <w:basedOn w:val="Normal"/>
    <w:link w:val="BalloonTextChar"/>
    <w:uiPriority w:val="99"/>
    <w:semiHidden/>
    <w:unhideWhenUsed/>
    <w:rsid w:val="00BF59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593A"/>
    <w:rPr>
      <w:rFonts w:ascii="Segoe UI" w:hAnsi="Segoe UI" w:cs="Segoe UI"/>
      <w:sz w:val="18"/>
      <w:szCs w:val="18"/>
      <w:lang w:val="en-US"/>
    </w:rPr>
  </w:style>
  <w:style w:type="character" w:customStyle="1" w:styleId="ListParagraphChar">
    <w:name w:val="List Paragraph Char"/>
    <w:aliases w:val="Akapit z listą BS Char,Bullet1 Char"/>
    <w:link w:val="ListParagraph"/>
    <w:uiPriority w:val="34"/>
    <w:locked/>
    <w:rsid w:val="00BA3D2B"/>
    <w:rPr>
      <w:lang w:val="en-US"/>
    </w:rPr>
  </w:style>
  <w:style w:type="paragraph" w:styleId="NormalWeb">
    <w:name w:val="Normal (Web)"/>
    <w:basedOn w:val="Normal"/>
    <w:uiPriority w:val="99"/>
    <w:semiHidden/>
    <w:unhideWhenUsed/>
    <w:rsid w:val="00A6191F"/>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C1072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72E"/>
    <w:rPr>
      <w:rFonts w:asciiTheme="majorHAnsi" w:eastAsiaTheme="majorEastAsia" w:hAnsiTheme="majorHAnsi" w:cstheme="majorBidi"/>
      <w:spacing w:val="-10"/>
      <w:kern w:val="28"/>
      <w:sz w:val="56"/>
      <w:szCs w:val="5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2744251">
      <w:bodyDiv w:val="1"/>
      <w:marLeft w:val="0"/>
      <w:marRight w:val="0"/>
      <w:marTop w:val="0"/>
      <w:marBottom w:val="0"/>
      <w:divBdr>
        <w:top w:val="none" w:sz="0" w:space="0" w:color="auto"/>
        <w:left w:val="none" w:sz="0" w:space="0" w:color="auto"/>
        <w:bottom w:val="none" w:sz="0" w:space="0" w:color="auto"/>
        <w:right w:val="none" w:sz="0" w:space="0" w:color="auto"/>
      </w:divBdr>
    </w:div>
    <w:div w:id="653218450">
      <w:bodyDiv w:val="1"/>
      <w:marLeft w:val="0"/>
      <w:marRight w:val="0"/>
      <w:marTop w:val="0"/>
      <w:marBottom w:val="0"/>
      <w:divBdr>
        <w:top w:val="none" w:sz="0" w:space="0" w:color="auto"/>
        <w:left w:val="none" w:sz="0" w:space="0" w:color="auto"/>
        <w:bottom w:val="none" w:sz="0" w:space="0" w:color="auto"/>
        <w:right w:val="none" w:sz="0" w:space="0" w:color="auto"/>
      </w:divBdr>
    </w:div>
    <w:div w:id="1011757187">
      <w:bodyDiv w:val="1"/>
      <w:marLeft w:val="0"/>
      <w:marRight w:val="0"/>
      <w:marTop w:val="0"/>
      <w:marBottom w:val="0"/>
      <w:divBdr>
        <w:top w:val="none" w:sz="0" w:space="0" w:color="auto"/>
        <w:left w:val="none" w:sz="0" w:space="0" w:color="auto"/>
        <w:bottom w:val="none" w:sz="0" w:space="0" w:color="auto"/>
        <w:right w:val="none" w:sz="0" w:space="0" w:color="auto"/>
      </w:divBdr>
    </w:div>
    <w:div w:id="1470516237">
      <w:bodyDiv w:val="1"/>
      <w:marLeft w:val="0"/>
      <w:marRight w:val="0"/>
      <w:marTop w:val="0"/>
      <w:marBottom w:val="0"/>
      <w:divBdr>
        <w:top w:val="none" w:sz="0" w:space="0" w:color="auto"/>
        <w:left w:val="none" w:sz="0" w:space="0" w:color="auto"/>
        <w:bottom w:val="none" w:sz="0" w:space="0" w:color="auto"/>
        <w:right w:val="none" w:sz="0" w:space="0" w:color="auto"/>
      </w:divBdr>
    </w:div>
    <w:div w:id="1764689055">
      <w:bodyDiv w:val="1"/>
      <w:marLeft w:val="0"/>
      <w:marRight w:val="0"/>
      <w:marTop w:val="0"/>
      <w:marBottom w:val="0"/>
      <w:divBdr>
        <w:top w:val="none" w:sz="0" w:space="0" w:color="auto"/>
        <w:left w:val="none" w:sz="0" w:space="0" w:color="auto"/>
        <w:bottom w:val="none" w:sz="0" w:space="0" w:color="auto"/>
        <w:right w:val="none" w:sz="0" w:space="0" w:color="auto"/>
      </w:divBdr>
    </w:div>
    <w:div w:id="1850220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00D88F-B5B6-4C5E-A47B-08D645BBA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2237</Words>
  <Characters>12755</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Kissick, Amelia</dc:creator>
  <cp:keywords/>
  <dc:description/>
  <cp:lastModifiedBy>Kaplan, Rachel</cp:lastModifiedBy>
  <cp:revision>6</cp:revision>
  <dcterms:created xsi:type="dcterms:W3CDTF">2018-09-05T17:08:00Z</dcterms:created>
  <dcterms:modified xsi:type="dcterms:W3CDTF">2018-09-06T14:27:00Z</dcterms:modified>
</cp:coreProperties>
</file>