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9D7DC" w14:textId="77777777" w:rsidR="00095038" w:rsidRPr="00095038" w:rsidRDefault="00095038" w:rsidP="00095038">
      <w:pPr>
        <w:ind w:left="0"/>
        <w:rPr>
          <w:b/>
          <w:color w:val="0070C0"/>
        </w:rPr>
      </w:pPr>
      <w:r w:rsidRPr="00095038">
        <w:rPr>
          <w:b/>
          <w:color w:val="0070C0"/>
        </w:rPr>
        <w:t xml:space="preserve">Example PIF Table B: </w:t>
      </w:r>
    </w:p>
    <w:p w14:paraId="45B2B2BE" w14:textId="77777777" w:rsidR="00095038" w:rsidRDefault="00095038" w:rsidP="00095038">
      <w:pPr>
        <w:ind w:left="0"/>
      </w:pPr>
    </w:p>
    <w:p w14:paraId="721D04EF" w14:textId="42EAD323" w:rsidR="002F2B94" w:rsidRPr="00095038" w:rsidRDefault="00095038" w:rsidP="00095038">
      <w:pPr>
        <w:ind w:left="0"/>
        <w:rPr>
          <w:b/>
        </w:rPr>
      </w:pPr>
      <w:r w:rsidRPr="00095038">
        <w:rPr>
          <w:b/>
        </w:rPr>
        <w:t>Nepal Integrated Landscape Management</w:t>
      </w:r>
    </w:p>
    <w:p w14:paraId="0E709BC9" w14:textId="11151596" w:rsidR="00095038" w:rsidRDefault="00095038" w:rsidP="00095038">
      <w:pPr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73"/>
        <w:gridCol w:w="1067"/>
        <w:gridCol w:w="2168"/>
        <w:gridCol w:w="4938"/>
        <w:gridCol w:w="772"/>
        <w:gridCol w:w="1110"/>
        <w:gridCol w:w="1222"/>
      </w:tblGrid>
      <w:tr w:rsidR="00095038" w:rsidRPr="00095038" w14:paraId="3DFE4F21" w14:textId="77777777" w:rsidTr="00095038">
        <w:trPr>
          <w:trHeight w:val="260"/>
        </w:trPr>
        <w:tc>
          <w:tcPr>
            <w:tcW w:w="5000" w:type="pct"/>
            <w:gridSpan w:val="7"/>
            <w:shd w:val="clear" w:color="auto" w:fill="FFFFFF"/>
            <w:vAlign w:val="center"/>
          </w:tcPr>
          <w:p w14:paraId="2CB52FFA" w14:textId="77777777" w:rsidR="00095038" w:rsidRPr="00095038" w:rsidRDefault="00095038" w:rsidP="00095038">
            <w:pPr>
              <w:ind w:left="0"/>
            </w:pPr>
            <w:r w:rsidRPr="00095038">
              <w:t>Project Objective: to promote integrated landscape management to conserve globally significant forests and wildlife</w:t>
            </w:r>
          </w:p>
        </w:tc>
      </w:tr>
      <w:tr w:rsidR="00095038" w:rsidRPr="00095038" w14:paraId="05E10CC0" w14:textId="77777777" w:rsidTr="00095038">
        <w:trPr>
          <w:trHeight w:val="285"/>
        </w:trPr>
        <w:tc>
          <w:tcPr>
            <w:tcW w:w="691" w:type="pct"/>
            <w:vMerge w:val="restart"/>
            <w:shd w:val="clear" w:color="auto" w:fill="FFFFFF"/>
            <w:vAlign w:val="center"/>
          </w:tcPr>
          <w:p w14:paraId="602E7F80" w14:textId="77777777" w:rsidR="00095038" w:rsidRPr="00095038" w:rsidRDefault="00095038" w:rsidP="00095038">
            <w:pPr>
              <w:ind w:left="0"/>
            </w:pPr>
            <w:r w:rsidRPr="00095038">
              <w:t>Project Components</w:t>
            </w:r>
          </w:p>
        </w:tc>
        <w:tc>
          <w:tcPr>
            <w:tcW w:w="377" w:type="pct"/>
            <w:vMerge w:val="restart"/>
            <w:shd w:val="clear" w:color="auto" w:fill="FFFFFF"/>
            <w:vAlign w:val="center"/>
          </w:tcPr>
          <w:p w14:paraId="72DE3B85" w14:textId="77777777" w:rsidR="00095038" w:rsidRPr="00095038" w:rsidRDefault="00095038" w:rsidP="00095038">
            <w:pPr>
              <w:ind w:left="0"/>
            </w:pPr>
            <w:r w:rsidRPr="00095038">
              <w:t>Financing Type</w:t>
            </w:r>
            <w:r w:rsidRPr="00095038">
              <w:rPr>
                <w:bCs/>
                <w:iCs/>
                <w:vertAlign w:val="superscript"/>
              </w:rPr>
              <w:footnoteReference w:id="1"/>
            </w:r>
          </w:p>
        </w:tc>
        <w:tc>
          <w:tcPr>
            <w:tcW w:w="882" w:type="pct"/>
            <w:vMerge w:val="restart"/>
            <w:shd w:val="clear" w:color="auto" w:fill="FFFFFF"/>
            <w:vAlign w:val="center"/>
          </w:tcPr>
          <w:p w14:paraId="529E5E58" w14:textId="77777777" w:rsidR="00095038" w:rsidRPr="00095038" w:rsidRDefault="00095038" w:rsidP="00095038">
            <w:pPr>
              <w:ind w:left="0"/>
            </w:pPr>
            <w:r w:rsidRPr="00095038">
              <w:t>Project Outcomes</w:t>
            </w:r>
          </w:p>
        </w:tc>
        <w:tc>
          <w:tcPr>
            <w:tcW w:w="1951" w:type="pct"/>
            <w:vMerge w:val="restart"/>
            <w:shd w:val="clear" w:color="auto" w:fill="FFFFFF"/>
            <w:vAlign w:val="center"/>
          </w:tcPr>
          <w:p w14:paraId="209627B8" w14:textId="77777777" w:rsidR="00095038" w:rsidRPr="00095038" w:rsidRDefault="00095038" w:rsidP="00095038">
            <w:pPr>
              <w:ind w:left="0"/>
            </w:pPr>
            <w:r w:rsidRPr="00095038">
              <w:t>Project Outputs</w:t>
            </w:r>
          </w:p>
        </w:tc>
        <w:tc>
          <w:tcPr>
            <w:tcW w:w="283" w:type="pct"/>
            <w:vMerge w:val="restart"/>
            <w:shd w:val="clear" w:color="auto" w:fill="FFFFFF"/>
            <w:vAlign w:val="center"/>
          </w:tcPr>
          <w:p w14:paraId="3B7E77D7" w14:textId="77777777" w:rsidR="00095038" w:rsidRPr="00095038" w:rsidRDefault="00095038" w:rsidP="00095038">
            <w:pPr>
              <w:ind w:left="0"/>
            </w:pPr>
            <w:r w:rsidRPr="00095038">
              <w:t>Trust Fund</w:t>
            </w:r>
          </w:p>
        </w:tc>
        <w:tc>
          <w:tcPr>
            <w:tcW w:w="816" w:type="pct"/>
            <w:gridSpan w:val="2"/>
            <w:shd w:val="clear" w:color="auto" w:fill="FFFFFF"/>
            <w:vAlign w:val="center"/>
          </w:tcPr>
          <w:p w14:paraId="7DC83D35" w14:textId="77777777" w:rsidR="00095038" w:rsidRPr="00095038" w:rsidRDefault="00095038" w:rsidP="00095038">
            <w:pPr>
              <w:ind w:left="0"/>
            </w:pPr>
            <w:r w:rsidRPr="00095038">
              <w:t>(in $)</w:t>
            </w:r>
          </w:p>
        </w:tc>
      </w:tr>
      <w:tr w:rsidR="00095038" w:rsidRPr="00095038" w14:paraId="0233DB02" w14:textId="77777777" w:rsidTr="00095038">
        <w:trPr>
          <w:trHeight w:val="212"/>
        </w:trPr>
        <w:tc>
          <w:tcPr>
            <w:tcW w:w="691" w:type="pct"/>
            <w:vMerge/>
            <w:shd w:val="clear" w:color="auto" w:fill="FFFFFF"/>
            <w:vAlign w:val="center"/>
          </w:tcPr>
          <w:p w14:paraId="25B2C3D8" w14:textId="77777777" w:rsidR="00095038" w:rsidRPr="00095038" w:rsidRDefault="00095038" w:rsidP="00095038">
            <w:pPr>
              <w:ind w:left="0"/>
            </w:pPr>
          </w:p>
        </w:tc>
        <w:tc>
          <w:tcPr>
            <w:tcW w:w="377" w:type="pct"/>
            <w:vMerge/>
            <w:shd w:val="clear" w:color="auto" w:fill="FFFFFF"/>
            <w:vAlign w:val="center"/>
          </w:tcPr>
          <w:p w14:paraId="561001BF" w14:textId="77777777" w:rsidR="00095038" w:rsidRPr="00095038" w:rsidRDefault="00095038" w:rsidP="00095038">
            <w:pPr>
              <w:ind w:left="0"/>
            </w:pPr>
          </w:p>
        </w:tc>
        <w:tc>
          <w:tcPr>
            <w:tcW w:w="882" w:type="pct"/>
            <w:vMerge/>
            <w:shd w:val="clear" w:color="auto" w:fill="FFFFFF"/>
            <w:vAlign w:val="center"/>
          </w:tcPr>
          <w:p w14:paraId="3F1FD2C8" w14:textId="77777777" w:rsidR="00095038" w:rsidRPr="00095038" w:rsidRDefault="00095038" w:rsidP="00095038">
            <w:pPr>
              <w:ind w:left="0"/>
            </w:pPr>
          </w:p>
        </w:tc>
        <w:tc>
          <w:tcPr>
            <w:tcW w:w="1951" w:type="pct"/>
            <w:vMerge/>
            <w:shd w:val="clear" w:color="auto" w:fill="FFFFFF"/>
            <w:vAlign w:val="center"/>
          </w:tcPr>
          <w:p w14:paraId="42E606B1" w14:textId="77777777" w:rsidR="00095038" w:rsidRPr="00095038" w:rsidRDefault="00095038" w:rsidP="00095038">
            <w:pPr>
              <w:ind w:left="0"/>
            </w:pPr>
          </w:p>
        </w:tc>
        <w:tc>
          <w:tcPr>
            <w:tcW w:w="283" w:type="pct"/>
            <w:vMerge/>
            <w:shd w:val="clear" w:color="auto" w:fill="FFFFFF"/>
          </w:tcPr>
          <w:p w14:paraId="0D9B8B72" w14:textId="77777777" w:rsidR="00095038" w:rsidRPr="00095038" w:rsidRDefault="00095038" w:rsidP="00095038">
            <w:pPr>
              <w:ind w:left="0"/>
            </w:pPr>
          </w:p>
        </w:tc>
        <w:tc>
          <w:tcPr>
            <w:tcW w:w="440" w:type="pct"/>
            <w:shd w:val="clear" w:color="auto" w:fill="FFFFFF"/>
            <w:vAlign w:val="center"/>
          </w:tcPr>
          <w:p w14:paraId="23415168" w14:textId="77777777" w:rsidR="00095038" w:rsidRPr="00095038" w:rsidRDefault="00095038" w:rsidP="00095038">
            <w:pPr>
              <w:ind w:left="0"/>
            </w:pPr>
            <w:r w:rsidRPr="00095038">
              <w:t>GEF Project Financing</w:t>
            </w:r>
          </w:p>
        </w:tc>
        <w:tc>
          <w:tcPr>
            <w:tcW w:w="376" w:type="pct"/>
            <w:shd w:val="clear" w:color="auto" w:fill="FFFFFF"/>
          </w:tcPr>
          <w:p w14:paraId="1BDCD714" w14:textId="77777777" w:rsidR="00095038" w:rsidRPr="00095038" w:rsidRDefault="00095038" w:rsidP="00095038">
            <w:pPr>
              <w:ind w:left="0"/>
            </w:pPr>
            <w:r w:rsidRPr="00095038">
              <w:t>Co-financing</w:t>
            </w:r>
          </w:p>
        </w:tc>
      </w:tr>
      <w:tr w:rsidR="00095038" w:rsidRPr="00095038" w14:paraId="71B3512C" w14:textId="77777777" w:rsidTr="00095038">
        <w:tc>
          <w:tcPr>
            <w:tcW w:w="691" w:type="pct"/>
            <w:shd w:val="clear" w:color="auto" w:fill="FFFFFF"/>
          </w:tcPr>
          <w:p w14:paraId="1A658CCF" w14:textId="77777777" w:rsidR="00095038" w:rsidRPr="00095038" w:rsidRDefault="00095038" w:rsidP="00095038">
            <w:pPr>
              <w:ind w:left="0"/>
            </w:pPr>
            <w:r w:rsidRPr="00095038">
              <w:t xml:space="preserve">Component 1: </w:t>
            </w:r>
          </w:p>
          <w:p w14:paraId="44D793B4" w14:textId="77777777" w:rsidR="00095038" w:rsidRPr="00095038" w:rsidRDefault="00095038" w:rsidP="00095038">
            <w:pPr>
              <w:ind w:left="0"/>
              <w:jc w:val="left"/>
            </w:pPr>
          </w:p>
          <w:p w14:paraId="1D4A3B35" w14:textId="77777777" w:rsidR="00095038" w:rsidRPr="00095038" w:rsidRDefault="00095038" w:rsidP="00095038">
            <w:pPr>
              <w:ind w:left="0"/>
              <w:jc w:val="left"/>
            </w:pPr>
            <w:r w:rsidRPr="00095038">
              <w:t>National capacity and enabling environment for cross-sectoral coordination to promote forest and landscape conserv</w:t>
            </w:r>
            <w:bookmarkStart w:id="0" w:name="_GoBack"/>
            <w:bookmarkEnd w:id="0"/>
            <w:r w:rsidRPr="00095038">
              <w:t>ation</w:t>
            </w:r>
          </w:p>
        </w:tc>
        <w:tc>
          <w:tcPr>
            <w:tcW w:w="377" w:type="pct"/>
            <w:shd w:val="clear" w:color="auto" w:fill="FFFFFF"/>
          </w:tcPr>
          <w:p w14:paraId="43CE196D" w14:textId="77777777" w:rsidR="00095038" w:rsidRPr="00095038" w:rsidRDefault="00095038" w:rsidP="00095038">
            <w:pPr>
              <w:ind w:left="0"/>
            </w:pPr>
            <w:r w:rsidRPr="00095038">
              <w:t>TA</w:t>
            </w:r>
          </w:p>
        </w:tc>
        <w:tc>
          <w:tcPr>
            <w:tcW w:w="882" w:type="pct"/>
            <w:shd w:val="clear" w:color="auto" w:fill="FFFFFF"/>
          </w:tcPr>
          <w:p w14:paraId="54B234C7" w14:textId="77777777" w:rsidR="00095038" w:rsidRPr="00095038" w:rsidRDefault="00095038" w:rsidP="00095038">
            <w:pPr>
              <w:ind w:left="0"/>
              <w:jc w:val="left"/>
            </w:pPr>
            <w:r w:rsidRPr="00095038">
              <w:t>Outcome 1.1: Improved inter-sectoral coordination from national, regional to district level for integrated forest and landscape management to support the 2015-2025 TAL Strategy</w:t>
            </w:r>
          </w:p>
          <w:p w14:paraId="539F8963" w14:textId="77777777" w:rsidR="00095038" w:rsidRPr="00095038" w:rsidRDefault="00095038" w:rsidP="00095038">
            <w:pPr>
              <w:ind w:left="0"/>
              <w:jc w:val="left"/>
            </w:pPr>
          </w:p>
          <w:p w14:paraId="2A6685AA" w14:textId="77777777" w:rsidR="00095038" w:rsidRPr="00095038" w:rsidRDefault="00095038" w:rsidP="00095038">
            <w:pPr>
              <w:ind w:left="0"/>
              <w:jc w:val="left"/>
            </w:pPr>
          </w:p>
          <w:p w14:paraId="3A229769" w14:textId="77777777" w:rsidR="00095038" w:rsidRPr="00095038" w:rsidRDefault="00095038" w:rsidP="00095038">
            <w:pPr>
              <w:ind w:left="0"/>
              <w:jc w:val="left"/>
            </w:pPr>
          </w:p>
          <w:p w14:paraId="5C176A04" w14:textId="77777777" w:rsidR="00095038" w:rsidRPr="00095038" w:rsidRDefault="00095038" w:rsidP="00095038">
            <w:pPr>
              <w:ind w:left="0"/>
              <w:jc w:val="left"/>
            </w:pPr>
          </w:p>
          <w:p w14:paraId="094AF140" w14:textId="595D63BA" w:rsidR="00095038" w:rsidRDefault="00095038" w:rsidP="00095038">
            <w:pPr>
              <w:ind w:left="0"/>
              <w:jc w:val="left"/>
            </w:pPr>
          </w:p>
          <w:p w14:paraId="79F71D29" w14:textId="77777777" w:rsidR="00095038" w:rsidRPr="00095038" w:rsidRDefault="00095038" w:rsidP="00095038">
            <w:pPr>
              <w:ind w:left="0"/>
              <w:jc w:val="left"/>
            </w:pPr>
          </w:p>
          <w:p w14:paraId="4A2F0B6F" w14:textId="77777777" w:rsidR="00095038" w:rsidRPr="00095038" w:rsidRDefault="00095038" w:rsidP="00095038">
            <w:pPr>
              <w:ind w:left="0"/>
              <w:jc w:val="left"/>
            </w:pPr>
          </w:p>
          <w:p w14:paraId="09D679BE" w14:textId="77777777" w:rsidR="00095038" w:rsidRPr="00095038" w:rsidRDefault="00095038" w:rsidP="00095038">
            <w:pPr>
              <w:ind w:left="0"/>
              <w:jc w:val="left"/>
            </w:pPr>
            <w:r w:rsidRPr="00095038">
              <w:t xml:space="preserve">Outcome 1.2: Capacity increased for multi-stakeholder and cross-sector landscape and forest </w:t>
            </w:r>
            <w:r w:rsidRPr="00095038">
              <w:lastRenderedPageBreak/>
              <w:t>planning and management</w:t>
            </w:r>
          </w:p>
          <w:p w14:paraId="04092E64" w14:textId="77777777" w:rsidR="00095038" w:rsidRPr="00095038" w:rsidRDefault="00095038" w:rsidP="00095038">
            <w:pPr>
              <w:ind w:left="0"/>
              <w:jc w:val="left"/>
            </w:pPr>
          </w:p>
          <w:p w14:paraId="6F4566ED" w14:textId="77777777" w:rsidR="00095038" w:rsidRPr="00095038" w:rsidRDefault="00095038" w:rsidP="00095038">
            <w:pPr>
              <w:ind w:left="0"/>
              <w:jc w:val="left"/>
            </w:pPr>
          </w:p>
          <w:p w14:paraId="548A7F91" w14:textId="77777777" w:rsidR="00095038" w:rsidRPr="00095038" w:rsidRDefault="00095038" w:rsidP="00095038">
            <w:pPr>
              <w:ind w:left="0"/>
            </w:pPr>
          </w:p>
          <w:p w14:paraId="604CC60D" w14:textId="77777777" w:rsidR="00095038" w:rsidRPr="00095038" w:rsidRDefault="00095038" w:rsidP="00095038">
            <w:pPr>
              <w:ind w:left="0"/>
            </w:pPr>
          </w:p>
          <w:p w14:paraId="7C56BB88" w14:textId="77777777" w:rsidR="00095038" w:rsidRPr="00095038" w:rsidRDefault="00095038" w:rsidP="00095038">
            <w:pPr>
              <w:ind w:left="0"/>
            </w:pPr>
          </w:p>
        </w:tc>
        <w:tc>
          <w:tcPr>
            <w:tcW w:w="1951" w:type="pct"/>
            <w:shd w:val="clear" w:color="auto" w:fill="FFFFFF"/>
          </w:tcPr>
          <w:p w14:paraId="2665564E" w14:textId="77777777" w:rsidR="00095038" w:rsidRPr="00095038" w:rsidRDefault="00095038" w:rsidP="00095038">
            <w:pPr>
              <w:ind w:left="0"/>
              <w:jc w:val="left"/>
            </w:pPr>
            <w:r w:rsidRPr="00095038">
              <w:lastRenderedPageBreak/>
              <w:t>1.1.1: Cross-sectoral coordination mechanisms established for:</w:t>
            </w:r>
          </w:p>
          <w:p w14:paraId="18ACB898" w14:textId="77777777" w:rsidR="00095038" w:rsidRPr="00095038" w:rsidRDefault="00095038" w:rsidP="00095038">
            <w:pPr>
              <w:numPr>
                <w:ilvl w:val="0"/>
                <w:numId w:val="1"/>
              </w:numPr>
              <w:jc w:val="left"/>
            </w:pPr>
            <w:r w:rsidRPr="00095038">
              <w:t>sub-committees under National Biodiversity Conservation Committee (NBCC)</w:t>
            </w:r>
          </w:p>
          <w:p w14:paraId="353252EC" w14:textId="77777777" w:rsidR="00095038" w:rsidRPr="00095038" w:rsidRDefault="00095038" w:rsidP="00095038">
            <w:pPr>
              <w:numPr>
                <w:ilvl w:val="0"/>
                <w:numId w:val="1"/>
              </w:numPr>
              <w:jc w:val="left"/>
            </w:pPr>
            <w:r w:rsidRPr="00095038">
              <w:t>Coordination with environment, infrastructure, and development Ministries</w:t>
            </w:r>
          </w:p>
          <w:p w14:paraId="66A3E7F2" w14:textId="77777777" w:rsidR="00095038" w:rsidRPr="00095038" w:rsidRDefault="00095038" w:rsidP="00095038">
            <w:pPr>
              <w:numPr>
                <w:ilvl w:val="0"/>
                <w:numId w:val="1"/>
              </w:numPr>
              <w:jc w:val="left"/>
            </w:pPr>
            <w:r w:rsidRPr="00095038">
              <w:t>Landscape Support Unit (LSU)</w:t>
            </w:r>
          </w:p>
          <w:p w14:paraId="3906224E" w14:textId="77777777" w:rsidR="00095038" w:rsidRPr="00095038" w:rsidRDefault="00095038" w:rsidP="00095038">
            <w:pPr>
              <w:numPr>
                <w:ilvl w:val="0"/>
                <w:numId w:val="1"/>
              </w:numPr>
              <w:jc w:val="left"/>
            </w:pPr>
            <w:r w:rsidRPr="00095038">
              <w:t>Task force(s) under TALWG for cross-sectoral communication on specific issues of overlapping land uses in TAL</w:t>
            </w:r>
          </w:p>
          <w:p w14:paraId="3B5ED9B0" w14:textId="77777777" w:rsidR="00095038" w:rsidRPr="00095038" w:rsidRDefault="00095038" w:rsidP="00095038">
            <w:pPr>
              <w:numPr>
                <w:ilvl w:val="0"/>
                <w:numId w:val="1"/>
              </w:numPr>
              <w:jc w:val="left"/>
            </w:pPr>
            <w:r w:rsidRPr="00095038">
              <w:t>Department (</w:t>
            </w:r>
            <w:proofErr w:type="spellStart"/>
            <w:r w:rsidRPr="00095038">
              <w:t>DoF</w:t>
            </w:r>
            <w:proofErr w:type="spellEnd"/>
            <w:r w:rsidRPr="00095038">
              <w:t xml:space="preserve">, DNPWC) representatives </w:t>
            </w:r>
            <w:proofErr w:type="gramStart"/>
            <w:r w:rsidRPr="00095038">
              <w:t>and  regional</w:t>
            </w:r>
            <w:proofErr w:type="gramEnd"/>
            <w:r w:rsidRPr="00095038">
              <w:t xml:space="preserve"> focal points within </w:t>
            </w:r>
            <w:proofErr w:type="spellStart"/>
            <w:r w:rsidRPr="00095038">
              <w:t>MoFSC</w:t>
            </w:r>
            <w:proofErr w:type="spellEnd"/>
            <w:r w:rsidRPr="00095038">
              <w:t xml:space="preserve"> for intra-sectoral coordination</w:t>
            </w:r>
          </w:p>
          <w:p w14:paraId="40D1F620" w14:textId="77777777" w:rsidR="00095038" w:rsidRPr="00095038" w:rsidRDefault="00095038" w:rsidP="00095038">
            <w:pPr>
              <w:numPr>
                <w:ilvl w:val="0"/>
                <w:numId w:val="1"/>
              </w:numPr>
              <w:jc w:val="left"/>
            </w:pPr>
            <w:r w:rsidRPr="00095038">
              <w:t xml:space="preserve">Networking mechanism for District Forest Sector Coordination Committees (DFSCC) for 18 TAL Districts </w:t>
            </w:r>
          </w:p>
          <w:p w14:paraId="51DC0483" w14:textId="77777777" w:rsidR="00095038" w:rsidRPr="00095038" w:rsidRDefault="00095038" w:rsidP="00095038">
            <w:pPr>
              <w:ind w:left="0"/>
              <w:jc w:val="left"/>
            </w:pPr>
          </w:p>
          <w:p w14:paraId="00A5FC19" w14:textId="77777777" w:rsidR="00095038" w:rsidRPr="00095038" w:rsidRDefault="00095038" w:rsidP="00095038">
            <w:pPr>
              <w:ind w:left="0"/>
              <w:jc w:val="left"/>
            </w:pPr>
            <w:r w:rsidRPr="00095038">
              <w:t>1.2.1: Conservation Leadership Training for 18 DFSCCs, LSU, TALWG, and department and regional focal points</w:t>
            </w:r>
          </w:p>
          <w:p w14:paraId="7AC4EAC6" w14:textId="77777777" w:rsidR="00095038" w:rsidRPr="00095038" w:rsidRDefault="00095038" w:rsidP="00095038">
            <w:pPr>
              <w:ind w:left="0"/>
              <w:jc w:val="left"/>
            </w:pPr>
          </w:p>
          <w:p w14:paraId="6F6FA7C3" w14:textId="77777777" w:rsidR="00095038" w:rsidRPr="00095038" w:rsidRDefault="00095038" w:rsidP="00095038">
            <w:pPr>
              <w:ind w:left="0"/>
              <w:jc w:val="left"/>
            </w:pPr>
            <w:r w:rsidRPr="00095038">
              <w:t xml:space="preserve">1.2.2: Training courses on community engagement for buffer zone and corridor management; resilience </w:t>
            </w:r>
            <w:r w:rsidRPr="00095038">
              <w:lastRenderedPageBreak/>
              <w:t xml:space="preserve">building for natural disaster response; biodiversity management and monitoring; anti-poaching and law enforcement for existing and newly recruited DNPWC and </w:t>
            </w:r>
            <w:proofErr w:type="spellStart"/>
            <w:r w:rsidRPr="00095038">
              <w:t>DoF</w:t>
            </w:r>
            <w:proofErr w:type="spellEnd"/>
            <w:r w:rsidRPr="00095038">
              <w:t xml:space="preserve"> staff</w:t>
            </w:r>
          </w:p>
          <w:p w14:paraId="2983D68F" w14:textId="77777777" w:rsidR="00095038" w:rsidRPr="00095038" w:rsidRDefault="00095038" w:rsidP="00095038">
            <w:pPr>
              <w:ind w:left="0"/>
              <w:jc w:val="left"/>
            </w:pPr>
          </w:p>
          <w:p w14:paraId="41CAE306" w14:textId="77777777" w:rsidR="00095038" w:rsidRPr="00095038" w:rsidRDefault="00095038" w:rsidP="00095038">
            <w:pPr>
              <w:ind w:left="0"/>
            </w:pPr>
            <w:r w:rsidRPr="00095038">
              <w:t>1.2.3: Commissioned joint-studies for cross-sector forest and landscape planning</w:t>
            </w:r>
          </w:p>
          <w:p w14:paraId="1F742410" w14:textId="77777777" w:rsidR="00095038" w:rsidRPr="00095038" w:rsidRDefault="00095038" w:rsidP="00095038">
            <w:pPr>
              <w:ind w:left="0"/>
            </w:pPr>
          </w:p>
          <w:p w14:paraId="45984D35" w14:textId="77777777" w:rsidR="00095038" w:rsidRPr="00095038" w:rsidRDefault="00095038" w:rsidP="00095038">
            <w:pPr>
              <w:ind w:left="0"/>
            </w:pPr>
            <w:r w:rsidRPr="00095038">
              <w:t xml:space="preserve">1.2.4: Smart Green Infrastructure (SGI) Guidelines developed jointly by environment and infrastructure government agencies and disseminated at national and sub-regional cross-sectoral workshops for the </w:t>
            </w:r>
            <w:proofErr w:type="spellStart"/>
            <w:r w:rsidRPr="00095038">
              <w:t>Terai</w:t>
            </w:r>
            <w:proofErr w:type="spellEnd"/>
            <w:r w:rsidRPr="00095038">
              <w:t xml:space="preserve"> Arc Landscape</w:t>
            </w:r>
          </w:p>
        </w:tc>
        <w:tc>
          <w:tcPr>
            <w:tcW w:w="283" w:type="pct"/>
            <w:shd w:val="clear" w:color="auto" w:fill="FFFFFF"/>
          </w:tcPr>
          <w:p w14:paraId="7ED6CA75" w14:textId="77777777" w:rsidR="00095038" w:rsidRPr="00095038" w:rsidRDefault="00095038" w:rsidP="00095038">
            <w:pPr>
              <w:ind w:left="0"/>
            </w:pPr>
            <w:r w:rsidRPr="00095038">
              <w:lastRenderedPageBreak/>
              <w:t>GEFTF</w:t>
            </w:r>
          </w:p>
        </w:tc>
        <w:tc>
          <w:tcPr>
            <w:tcW w:w="440" w:type="pct"/>
            <w:shd w:val="clear" w:color="auto" w:fill="FFFFFF"/>
          </w:tcPr>
          <w:p w14:paraId="1121F367" w14:textId="77777777" w:rsidR="00095038" w:rsidRPr="00095038" w:rsidRDefault="00095038" w:rsidP="00095038">
            <w:pPr>
              <w:ind w:left="0"/>
            </w:pPr>
            <w:r w:rsidRPr="00095038">
              <w:t>1,594,582</w:t>
            </w:r>
          </w:p>
        </w:tc>
        <w:tc>
          <w:tcPr>
            <w:tcW w:w="376" w:type="pct"/>
            <w:shd w:val="clear" w:color="auto" w:fill="FFFFFF"/>
          </w:tcPr>
          <w:p w14:paraId="5E83647F" w14:textId="77777777" w:rsidR="00095038" w:rsidRPr="00095038" w:rsidRDefault="00095038" w:rsidP="00095038">
            <w:pPr>
              <w:ind w:left="0"/>
            </w:pPr>
            <w:r w:rsidRPr="00095038">
              <w:t>10,148,252</w:t>
            </w:r>
          </w:p>
        </w:tc>
      </w:tr>
      <w:tr w:rsidR="00095038" w:rsidRPr="00095038" w14:paraId="24F290D3" w14:textId="77777777" w:rsidTr="00095038">
        <w:tc>
          <w:tcPr>
            <w:tcW w:w="691" w:type="pct"/>
            <w:shd w:val="clear" w:color="auto" w:fill="FFFFFF"/>
          </w:tcPr>
          <w:p w14:paraId="073DFA8D" w14:textId="77777777" w:rsidR="00095038" w:rsidRPr="00095038" w:rsidRDefault="00095038" w:rsidP="00095038">
            <w:pPr>
              <w:ind w:left="0"/>
              <w:jc w:val="left"/>
            </w:pPr>
            <w:r w:rsidRPr="00095038">
              <w:t xml:space="preserve">Component 2: </w:t>
            </w:r>
          </w:p>
          <w:p w14:paraId="6FC1A68C" w14:textId="77777777" w:rsidR="00095038" w:rsidRPr="00095038" w:rsidRDefault="00095038" w:rsidP="00095038">
            <w:pPr>
              <w:ind w:left="0"/>
              <w:jc w:val="left"/>
            </w:pPr>
          </w:p>
          <w:p w14:paraId="731F32F4" w14:textId="77777777" w:rsidR="00095038" w:rsidRPr="00095038" w:rsidRDefault="00095038" w:rsidP="00095038">
            <w:pPr>
              <w:ind w:left="0"/>
              <w:jc w:val="left"/>
            </w:pPr>
            <w:r w:rsidRPr="00095038">
              <w:t xml:space="preserve">Integrated Planning for Protected Area Buffer Zones and Critical Corridors in the </w:t>
            </w:r>
            <w:proofErr w:type="spellStart"/>
            <w:r w:rsidRPr="00095038">
              <w:t>Terai</w:t>
            </w:r>
            <w:proofErr w:type="spellEnd"/>
            <w:r w:rsidRPr="00095038">
              <w:t xml:space="preserve"> Arc Landscape</w:t>
            </w:r>
          </w:p>
        </w:tc>
        <w:tc>
          <w:tcPr>
            <w:tcW w:w="377" w:type="pct"/>
            <w:shd w:val="clear" w:color="auto" w:fill="FFFFFF"/>
          </w:tcPr>
          <w:p w14:paraId="0EF2C2A4" w14:textId="77777777" w:rsidR="00095038" w:rsidRPr="00095038" w:rsidRDefault="00095038" w:rsidP="00095038">
            <w:pPr>
              <w:ind w:left="0"/>
            </w:pPr>
            <w:r w:rsidRPr="00095038">
              <w:t>TA</w:t>
            </w:r>
          </w:p>
        </w:tc>
        <w:tc>
          <w:tcPr>
            <w:tcW w:w="882" w:type="pct"/>
            <w:shd w:val="clear" w:color="auto" w:fill="FFFFFF"/>
          </w:tcPr>
          <w:p w14:paraId="1221B4C5" w14:textId="77777777" w:rsidR="00095038" w:rsidRPr="00095038" w:rsidRDefault="00095038" w:rsidP="00095038">
            <w:pPr>
              <w:ind w:left="0"/>
              <w:jc w:val="left"/>
            </w:pPr>
            <w:r w:rsidRPr="00095038">
              <w:t>Outcome 2.1: Increased protection status for targeted TAL corridors</w:t>
            </w:r>
          </w:p>
          <w:p w14:paraId="32209CF8" w14:textId="77777777" w:rsidR="00095038" w:rsidRPr="00095038" w:rsidRDefault="00095038" w:rsidP="00095038">
            <w:pPr>
              <w:ind w:left="0"/>
              <w:jc w:val="left"/>
            </w:pPr>
          </w:p>
          <w:p w14:paraId="2832A0CD" w14:textId="77777777" w:rsidR="00095038" w:rsidRPr="00095038" w:rsidRDefault="00095038" w:rsidP="00095038">
            <w:pPr>
              <w:ind w:left="0"/>
              <w:jc w:val="left"/>
            </w:pPr>
          </w:p>
          <w:p w14:paraId="394F8F9F" w14:textId="77777777" w:rsidR="00095038" w:rsidRPr="00095038" w:rsidRDefault="00095038" w:rsidP="00095038">
            <w:pPr>
              <w:ind w:left="0"/>
              <w:jc w:val="left"/>
            </w:pPr>
          </w:p>
          <w:p w14:paraId="3C45949D" w14:textId="77777777" w:rsidR="00095038" w:rsidRPr="00095038" w:rsidRDefault="00095038" w:rsidP="00095038">
            <w:pPr>
              <w:ind w:left="0"/>
              <w:jc w:val="left"/>
            </w:pPr>
          </w:p>
          <w:p w14:paraId="54631A4F" w14:textId="1E0BA084" w:rsidR="00095038" w:rsidRDefault="00095038" w:rsidP="00095038">
            <w:pPr>
              <w:ind w:left="0"/>
              <w:jc w:val="left"/>
            </w:pPr>
          </w:p>
          <w:p w14:paraId="3F19BC66" w14:textId="77777777" w:rsidR="00095038" w:rsidRPr="00095038" w:rsidRDefault="00095038" w:rsidP="00095038">
            <w:pPr>
              <w:ind w:left="0"/>
              <w:jc w:val="left"/>
            </w:pPr>
          </w:p>
          <w:p w14:paraId="6662F9EC" w14:textId="77777777" w:rsidR="00095038" w:rsidRPr="00095038" w:rsidRDefault="00095038" w:rsidP="00095038">
            <w:pPr>
              <w:ind w:left="0"/>
              <w:jc w:val="left"/>
            </w:pPr>
            <w:r w:rsidRPr="00095038">
              <w:t xml:space="preserve">Outcome 2.2: </w:t>
            </w:r>
          </w:p>
          <w:p w14:paraId="7E1AC4FF" w14:textId="77777777" w:rsidR="00095038" w:rsidRPr="00095038" w:rsidRDefault="00095038" w:rsidP="00095038">
            <w:pPr>
              <w:ind w:left="0"/>
              <w:jc w:val="left"/>
            </w:pPr>
            <w:r w:rsidRPr="00095038">
              <w:t>Improved participative planning for conservation and protection of targeted protected area buffer zones and corridors in TAL</w:t>
            </w:r>
          </w:p>
        </w:tc>
        <w:tc>
          <w:tcPr>
            <w:tcW w:w="1951" w:type="pct"/>
            <w:shd w:val="clear" w:color="auto" w:fill="FFFFFF"/>
          </w:tcPr>
          <w:p w14:paraId="64046AE9" w14:textId="77777777" w:rsidR="00095038" w:rsidRPr="00095038" w:rsidRDefault="00095038" w:rsidP="00095038">
            <w:pPr>
              <w:ind w:left="0"/>
            </w:pPr>
            <w:r w:rsidRPr="00095038">
              <w:t xml:space="preserve">2.1.1: Biodiversity surveys, socio-economic surveys, and local stakeholder consultation for </w:t>
            </w:r>
            <w:proofErr w:type="spellStart"/>
            <w:r w:rsidRPr="00095038">
              <w:t>Bramadav</w:t>
            </w:r>
            <w:proofErr w:type="spellEnd"/>
            <w:r w:rsidRPr="00095038">
              <w:t xml:space="preserve">, </w:t>
            </w:r>
            <w:proofErr w:type="spellStart"/>
            <w:r w:rsidRPr="00095038">
              <w:t>Karnali</w:t>
            </w:r>
            <w:proofErr w:type="spellEnd"/>
            <w:r w:rsidRPr="00095038">
              <w:t xml:space="preserve">, and </w:t>
            </w:r>
            <w:proofErr w:type="spellStart"/>
            <w:r w:rsidRPr="00095038">
              <w:t>Kamdi</w:t>
            </w:r>
            <w:proofErr w:type="spellEnd"/>
            <w:r w:rsidRPr="00095038">
              <w:t xml:space="preserve"> corridors to determine feasibility of protection forest designation</w:t>
            </w:r>
          </w:p>
          <w:p w14:paraId="18866BA7" w14:textId="77777777" w:rsidR="00095038" w:rsidRPr="00095038" w:rsidRDefault="00095038" w:rsidP="00095038">
            <w:pPr>
              <w:ind w:left="0"/>
            </w:pPr>
          </w:p>
          <w:p w14:paraId="77DC9492" w14:textId="77777777" w:rsidR="00095038" w:rsidRPr="00095038" w:rsidRDefault="00095038" w:rsidP="00095038">
            <w:pPr>
              <w:ind w:left="0"/>
            </w:pPr>
            <w:r w:rsidRPr="00095038">
              <w:t>Output 2.1.2: Three corridors (</w:t>
            </w:r>
            <w:proofErr w:type="spellStart"/>
            <w:r w:rsidRPr="00095038">
              <w:t>Bramadav</w:t>
            </w:r>
            <w:proofErr w:type="spellEnd"/>
            <w:r w:rsidRPr="00095038">
              <w:t xml:space="preserve">, </w:t>
            </w:r>
            <w:proofErr w:type="spellStart"/>
            <w:r w:rsidRPr="00095038">
              <w:t>Karnali</w:t>
            </w:r>
            <w:proofErr w:type="spellEnd"/>
            <w:r w:rsidRPr="00095038">
              <w:t xml:space="preserve">, and </w:t>
            </w:r>
            <w:proofErr w:type="spellStart"/>
            <w:r w:rsidRPr="00095038">
              <w:t>Kamdi</w:t>
            </w:r>
            <w:proofErr w:type="spellEnd"/>
            <w:r w:rsidRPr="00095038">
              <w:t>) proposed for Protection Forest designation or Integrated Community Conservation Area designation</w:t>
            </w:r>
          </w:p>
          <w:p w14:paraId="643C9A00" w14:textId="77777777" w:rsidR="00095038" w:rsidRPr="00095038" w:rsidRDefault="00095038" w:rsidP="00095038">
            <w:pPr>
              <w:ind w:left="0"/>
            </w:pPr>
          </w:p>
          <w:p w14:paraId="03ECE0AC" w14:textId="77777777" w:rsidR="00095038" w:rsidRPr="00095038" w:rsidRDefault="00095038" w:rsidP="00095038">
            <w:pPr>
              <w:ind w:left="0"/>
            </w:pPr>
            <w:r w:rsidRPr="00095038">
              <w:t xml:space="preserve">2.2.1: Land uses, biodiversity values, forest carbon, and key threats assessed, mapped, reported and disseminated to identify priority villages and community forests in targeted PA buffer zones and Corridors </w:t>
            </w:r>
          </w:p>
          <w:p w14:paraId="3173E4D3" w14:textId="77777777" w:rsidR="00095038" w:rsidRPr="00095038" w:rsidRDefault="00095038" w:rsidP="00095038">
            <w:pPr>
              <w:ind w:left="0"/>
            </w:pPr>
          </w:p>
          <w:p w14:paraId="461E5149" w14:textId="77777777" w:rsidR="00095038" w:rsidRPr="00095038" w:rsidRDefault="00095038" w:rsidP="00095038">
            <w:pPr>
              <w:ind w:left="0"/>
            </w:pPr>
            <w:r w:rsidRPr="00095038">
              <w:t xml:space="preserve">2.2.2: Forest Management Operational Plans developed/revised for priority community forests incorporating the assessment from 2.2.1 and coordinated among Regional Directorate of Forests, Protected Areas, Protection Forest Council, DFSCC, </w:t>
            </w:r>
            <w:r w:rsidRPr="00095038">
              <w:lastRenderedPageBreak/>
              <w:t>District Wildlife Crime Control Bureau, Community Forest User Groups and other forest-support local institutions</w:t>
            </w:r>
          </w:p>
          <w:p w14:paraId="1421472C" w14:textId="77777777" w:rsidR="00095038" w:rsidRPr="00095038" w:rsidRDefault="00095038" w:rsidP="00095038">
            <w:pPr>
              <w:ind w:left="0"/>
            </w:pPr>
          </w:p>
          <w:p w14:paraId="5BB41ACE" w14:textId="77777777" w:rsidR="00095038" w:rsidRPr="00095038" w:rsidRDefault="00095038" w:rsidP="00095038">
            <w:pPr>
              <w:ind w:left="0"/>
            </w:pPr>
            <w:r w:rsidRPr="00095038">
              <w:t>2.2.3: Corridor management plans developed or revised for all seven TAL corridors</w:t>
            </w:r>
          </w:p>
          <w:p w14:paraId="2775370A" w14:textId="77777777" w:rsidR="00095038" w:rsidRPr="00095038" w:rsidRDefault="00095038" w:rsidP="00095038">
            <w:pPr>
              <w:ind w:left="0"/>
            </w:pPr>
            <w:r w:rsidRPr="00095038">
              <w:t xml:space="preserve"> </w:t>
            </w:r>
          </w:p>
        </w:tc>
        <w:tc>
          <w:tcPr>
            <w:tcW w:w="283" w:type="pct"/>
            <w:shd w:val="clear" w:color="auto" w:fill="FFFFFF"/>
          </w:tcPr>
          <w:p w14:paraId="56CD4B2E" w14:textId="77777777" w:rsidR="00095038" w:rsidRPr="00095038" w:rsidRDefault="00095038" w:rsidP="00095038">
            <w:pPr>
              <w:ind w:left="0"/>
            </w:pPr>
            <w:r w:rsidRPr="00095038">
              <w:lastRenderedPageBreak/>
              <w:t>GEFTF</w:t>
            </w:r>
          </w:p>
        </w:tc>
        <w:tc>
          <w:tcPr>
            <w:tcW w:w="440" w:type="pct"/>
            <w:shd w:val="clear" w:color="auto" w:fill="FFFFFF"/>
          </w:tcPr>
          <w:p w14:paraId="1CCA07AB" w14:textId="77777777" w:rsidR="00095038" w:rsidRPr="00095038" w:rsidRDefault="00095038" w:rsidP="00095038">
            <w:pPr>
              <w:ind w:left="0"/>
            </w:pPr>
            <w:r w:rsidRPr="00095038">
              <w:t>956,750</w:t>
            </w:r>
          </w:p>
        </w:tc>
        <w:tc>
          <w:tcPr>
            <w:tcW w:w="376" w:type="pct"/>
            <w:shd w:val="clear" w:color="auto" w:fill="FFFFFF"/>
          </w:tcPr>
          <w:p w14:paraId="0D94EA70" w14:textId="77777777" w:rsidR="00095038" w:rsidRPr="00095038" w:rsidRDefault="00095038" w:rsidP="00095038">
            <w:pPr>
              <w:ind w:left="0"/>
            </w:pPr>
            <w:r w:rsidRPr="00095038">
              <w:t>6,088,952</w:t>
            </w:r>
          </w:p>
        </w:tc>
      </w:tr>
      <w:tr w:rsidR="00095038" w:rsidRPr="00095038" w14:paraId="261EF145" w14:textId="77777777" w:rsidTr="00095038">
        <w:tc>
          <w:tcPr>
            <w:tcW w:w="691" w:type="pct"/>
            <w:tcBorders>
              <w:bottom w:val="single" w:sz="4" w:space="0" w:color="auto"/>
            </w:tcBorders>
            <w:shd w:val="clear" w:color="auto" w:fill="FFFFFF"/>
          </w:tcPr>
          <w:p w14:paraId="08AAA2BB" w14:textId="77777777" w:rsidR="00095038" w:rsidRPr="00095038" w:rsidRDefault="00095038" w:rsidP="00095038">
            <w:pPr>
              <w:ind w:left="0"/>
              <w:jc w:val="left"/>
            </w:pPr>
            <w:r w:rsidRPr="00095038">
              <w:t>Component 3:</w:t>
            </w:r>
          </w:p>
          <w:p w14:paraId="15319CA1" w14:textId="77777777" w:rsidR="00095038" w:rsidRPr="00095038" w:rsidRDefault="00095038" w:rsidP="00095038">
            <w:pPr>
              <w:ind w:left="0"/>
              <w:jc w:val="left"/>
            </w:pPr>
          </w:p>
          <w:p w14:paraId="2B5284E9" w14:textId="77777777" w:rsidR="00095038" w:rsidRPr="00095038" w:rsidRDefault="00095038" w:rsidP="00095038">
            <w:pPr>
              <w:ind w:left="0"/>
              <w:jc w:val="left"/>
            </w:pPr>
            <w:r w:rsidRPr="00095038">
              <w:t xml:space="preserve">Forest and species management for improved conservation of targeted protected area buffer zones and corridors in the </w:t>
            </w:r>
            <w:proofErr w:type="spellStart"/>
            <w:r w:rsidRPr="00095038">
              <w:t>Terai</w:t>
            </w:r>
            <w:proofErr w:type="spellEnd"/>
            <w:r w:rsidRPr="00095038">
              <w:t xml:space="preserve"> Arc Landscape</w:t>
            </w:r>
          </w:p>
        </w:tc>
        <w:tc>
          <w:tcPr>
            <w:tcW w:w="377" w:type="pct"/>
            <w:shd w:val="clear" w:color="auto" w:fill="FFFFFF"/>
          </w:tcPr>
          <w:p w14:paraId="17C1AFDF" w14:textId="77777777" w:rsidR="00095038" w:rsidRPr="00095038" w:rsidRDefault="00095038" w:rsidP="00095038">
            <w:pPr>
              <w:ind w:left="0"/>
            </w:pPr>
            <w:r w:rsidRPr="00095038">
              <w:t>TA</w:t>
            </w:r>
          </w:p>
        </w:tc>
        <w:tc>
          <w:tcPr>
            <w:tcW w:w="882" w:type="pct"/>
            <w:shd w:val="clear" w:color="auto" w:fill="FFFFFF"/>
          </w:tcPr>
          <w:p w14:paraId="7C84AD96" w14:textId="77777777" w:rsidR="00095038" w:rsidRPr="00095038" w:rsidRDefault="00095038" w:rsidP="00095038">
            <w:pPr>
              <w:ind w:left="0"/>
              <w:jc w:val="left"/>
            </w:pPr>
            <w:r w:rsidRPr="00095038">
              <w:t>Outcome 3.1 Increased application of good forest management practices</w:t>
            </w:r>
          </w:p>
          <w:p w14:paraId="441A8B73" w14:textId="77777777" w:rsidR="00095038" w:rsidRPr="00095038" w:rsidRDefault="00095038" w:rsidP="00095038">
            <w:pPr>
              <w:ind w:left="0"/>
              <w:jc w:val="left"/>
            </w:pPr>
          </w:p>
          <w:p w14:paraId="69FAD03D" w14:textId="77777777" w:rsidR="00095038" w:rsidRPr="00095038" w:rsidRDefault="00095038" w:rsidP="00095038">
            <w:pPr>
              <w:ind w:left="0"/>
              <w:jc w:val="left"/>
            </w:pPr>
            <w:r w:rsidRPr="00095038">
              <w:t xml:space="preserve">Outcome 3.2: Improved management of the human-wildlife interface </w:t>
            </w:r>
          </w:p>
          <w:p w14:paraId="56139557" w14:textId="77777777" w:rsidR="00095038" w:rsidRPr="00095038" w:rsidRDefault="00095038" w:rsidP="00095038">
            <w:pPr>
              <w:ind w:left="0"/>
              <w:jc w:val="left"/>
            </w:pPr>
            <w:r w:rsidRPr="00095038">
              <w:t xml:space="preserve"> </w:t>
            </w:r>
          </w:p>
        </w:tc>
        <w:tc>
          <w:tcPr>
            <w:tcW w:w="1951" w:type="pct"/>
            <w:shd w:val="clear" w:color="auto" w:fill="FFFFFF"/>
          </w:tcPr>
          <w:p w14:paraId="48551AFF" w14:textId="77777777" w:rsidR="00095038" w:rsidRPr="00095038" w:rsidRDefault="00095038" w:rsidP="00095038">
            <w:pPr>
              <w:ind w:left="0"/>
            </w:pPr>
            <w:r w:rsidRPr="00095038">
              <w:t>Output 3.1.1 Demonstration projects and training to build capacity of government, local communities and private sector on applied forest management</w:t>
            </w:r>
          </w:p>
          <w:p w14:paraId="03F9942A" w14:textId="77777777" w:rsidR="00095038" w:rsidRPr="00095038" w:rsidRDefault="00095038" w:rsidP="00095038">
            <w:pPr>
              <w:ind w:left="0"/>
            </w:pPr>
          </w:p>
          <w:p w14:paraId="18B5B579" w14:textId="77777777" w:rsidR="00095038" w:rsidRPr="00095038" w:rsidRDefault="00095038" w:rsidP="00095038">
            <w:pPr>
              <w:ind w:left="0"/>
            </w:pPr>
            <w:r w:rsidRPr="00095038">
              <w:t xml:space="preserve">3.2.1: Capacity and resources for participatory management of human wildlife conflict </w:t>
            </w:r>
          </w:p>
          <w:p w14:paraId="0DFFAEDD" w14:textId="77777777" w:rsidR="00095038" w:rsidRPr="00095038" w:rsidRDefault="00095038" w:rsidP="00095038">
            <w:pPr>
              <w:ind w:left="0"/>
            </w:pPr>
          </w:p>
          <w:p w14:paraId="24E407D6" w14:textId="77777777" w:rsidR="00095038" w:rsidRPr="00095038" w:rsidRDefault="00095038" w:rsidP="00095038">
            <w:pPr>
              <w:ind w:left="0"/>
            </w:pPr>
            <w:r w:rsidRPr="00095038">
              <w:t xml:space="preserve">3.2.2: Training and equipment for real-time SMART for District Wildlife Crime Control Bureaus and buffer zone Community Based </w:t>
            </w:r>
            <w:proofErr w:type="spellStart"/>
            <w:r w:rsidRPr="00095038">
              <w:t>Anti Poaching</w:t>
            </w:r>
            <w:proofErr w:type="spellEnd"/>
            <w:r w:rsidRPr="00095038">
              <w:t xml:space="preserve"> Units for transparent collection and reporting of information on illegal logging, poaching, and other threats</w:t>
            </w:r>
          </w:p>
        </w:tc>
        <w:tc>
          <w:tcPr>
            <w:tcW w:w="283" w:type="pct"/>
            <w:shd w:val="clear" w:color="auto" w:fill="FFFFFF"/>
          </w:tcPr>
          <w:p w14:paraId="5B0D7562" w14:textId="77777777" w:rsidR="00095038" w:rsidRPr="00095038" w:rsidRDefault="00095038" w:rsidP="00095038">
            <w:pPr>
              <w:ind w:left="0"/>
            </w:pPr>
            <w:r w:rsidRPr="00095038">
              <w:t>GEFTF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FFFFFF"/>
          </w:tcPr>
          <w:p w14:paraId="2E5D05DF" w14:textId="77777777" w:rsidR="00095038" w:rsidRPr="00095038" w:rsidRDefault="00095038" w:rsidP="00095038">
            <w:pPr>
              <w:ind w:left="0"/>
            </w:pPr>
            <w:r w:rsidRPr="00095038">
              <w:t>2,870,249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/>
          </w:tcPr>
          <w:p w14:paraId="41B70A9D" w14:textId="77777777" w:rsidR="00095038" w:rsidRPr="00095038" w:rsidRDefault="00095038" w:rsidP="00095038">
            <w:pPr>
              <w:ind w:left="0"/>
            </w:pPr>
            <w:r w:rsidRPr="00095038">
              <w:t>18,266,848</w:t>
            </w:r>
          </w:p>
        </w:tc>
      </w:tr>
      <w:tr w:rsidR="00095038" w:rsidRPr="00095038" w14:paraId="346F1FB2" w14:textId="77777777" w:rsidTr="00095038">
        <w:tc>
          <w:tcPr>
            <w:tcW w:w="691" w:type="pct"/>
            <w:tcBorders>
              <w:bottom w:val="single" w:sz="4" w:space="0" w:color="auto"/>
            </w:tcBorders>
            <w:shd w:val="clear" w:color="auto" w:fill="FFFFFF"/>
          </w:tcPr>
          <w:p w14:paraId="0C1A9B71" w14:textId="77777777" w:rsidR="00095038" w:rsidRPr="00095038" w:rsidRDefault="00095038" w:rsidP="00095038">
            <w:pPr>
              <w:ind w:left="0"/>
              <w:jc w:val="left"/>
            </w:pPr>
            <w:r w:rsidRPr="00095038">
              <w:t>Component 4:</w:t>
            </w:r>
          </w:p>
          <w:p w14:paraId="73C9FA71" w14:textId="77777777" w:rsidR="00095038" w:rsidRPr="00095038" w:rsidRDefault="00095038" w:rsidP="00095038">
            <w:pPr>
              <w:ind w:left="0"/>
              <w:jc w:val="left"/>
            </w:pPr>
          </w:p>
          <w:p w14:paraId="2699AA54" w14:textId="77777777" w:rsidR="00095038" w:rsidRPr="00095038" w:rsidRDefault="00095038" w:rsidP="00095038">
            <w:pPr>
              <w:ind w:left="0"/>
              <w:jc w:val="left"/>
            </w:pPr>
            <w:r w:rsidRPr="00095038">
              <w:t>Knowledge management and M&amp;E</w:t>
            </w:r>
          </w:p>
        </w:tc>
        <w:tc>
          <w:tcPr>
            <w:tcW w:w="377" w:type="pct"/>
            <w:shd w:val="clear" w:color="auto" w:fill="FFFFFF"/>
          </w:tcPr>
          <w:p w14:paraId="702813EE" w14:textId="77777777" w:rsidR="00095038" w:rsidRPr="00095038" w:rsidRDefault="00095038" w:rsidP="00095038">
            <w:pPr>
              <w:ind w:left="0"/>
            </w:pPr>
            <w:r w:rsidRPr="00095038">
              <w:t>TA</w:t>
            </w:r>
          </w:p>
        </w:tc>
        <w:tc>
          <w:tcPr>
            <w:tcW w:w="882" w:type="pct"/>
            <w:shd w:val="clear" w:color="auto" w:fill="FFFFFF"/>
          </w:tcPr>
          <w:p w14:paraId="4C91933C" w14:textId="77777777" w:rsidR="00095038" w:rsidRPr="00095038" w:rsidRDefault="00095038" w:rsidP="00095038">
            <w:pPr>
              <w:ind w:left="0"/>
              <w:jc w:val="left"/>
            </w:pPr>
            <w:r w:rsidRPr="00095038">
              <w:t>Outcome 4.1: Improved coordination and dialogue on landscape management from the local, regional to national level</w:t>
            </w:r>
          </w:p>
          <w:p w14:paraId="1BBCBD16" w14:textId="77777777" w:rsidR="00095038" w:rsidRPr="00095038" w:rsidRDefault="00095038" w:rsidP="00095038">
            <w:pPr>
              <w:ind w:left="0"/>
              <w:jc w:val="left"/>
            </w:pPr>
          </w:p>
          <w:p w14:paraId="78471D0D" w14:textId="77777777" w:rsidR="00095038" w:rsidRPr="00095038" w:rsidRDefault="00095038" w:rsidP="00095038">
            <w:pPr>
              <w:ind w:left="0"/>
              <w:jc w:val="left"/>
            </w:pPr>
            <w:r w:rsidRPr="00095038">
              <w:t xml:space="preserve">Outcome 4.2: Project monitoring system operates, systematically provides information </w:t>
            </w:r>
            <w:r w:rsidRPr="00095038">
              <w:lastRenderedPageBreak/>
              <w:t xml:space="preserve">on progress, and informs adaptive management to ensure results </w:t>
            </w:r>
          </w:p>
          <w:p w14:paraId="764A5E2B" w14:textId="77777777" w:rsidR="00095038" w:rsidRPr="00095038" w:rsidRDefault="00095038" w:rsidP="00095038">
            <w:pPr>
              <w:ind w:left="0"/>
              <w:jc w:val="left"/>
            </w:pPr>
          </w:p>
          <w:p w14:paraId="3A394B50" w14:textId="77777777" w:rsidR="00095038" w:rsidRPr="00095038" w:rsidRDefault="00095038" w:rsidP="00095038">
            <w:pPr>
              <w:ind w:left="0"/>
              <w:jc w:val="left"/>
            </w:pPr>
            <w:r w:rsidRPr="00095038">
              <w:t>Outcome 4.3: Project lessons shared</w:t>
            </w:r>
          </w:p>
        </w:tc>
        <w:tc>
          <w:tcPr>
            <w:tcW w:w="1951" w:type="pct"/>
            <w:shd w:val="clear" w:color="auto" w:fill="FFFFFF"/>
          </w:tcPr>
          <w:p w14:paraId="430B044B" w14:textId="77777777" w:rsidR="00095038" w:rsidRPr="00095038" w:rsidRDefault="00095038" w:rsidP="00095038">
            <w:pPr>
              <w:ind w:left="0"/>
            </w:pPr>
            <w:r w:rsidRPr="00095038">
              <w:lastRenderedPageBreak/>
              <w:t>4.1.1: Annual forums for coordination and feedback among NBCC, subcommittees, LSU, TALWG, DFSCC network on integrated landscape planning and management</w:t>
            </w:r>
          </w:p>
          <w:p w14:paraId="18B08EFC" w14:textId="77777777" w:rsidR="00095038" w:rsidRPr="00095038" w:rsidRDefault="00095038" w:rsidP="00095038">
            <w:pPr>
              <w:ind w:left="0"/>
            </w:pPr>
          </w:p>
          <w:p w14:paraId="486A15F0" w14:textId="77777777" w:rsidR="00095038" w:rsidRPr="00095038" w:rsidRDefault="00095038" w:rsidP="00095038">
            <w:pPr>
              <w:ind w:left="0"/>
            </w:pPr>
          </w:p>
          <w:p w14:paraId="2AF881AB" w14:textId="77777777" w:rsidR="00095038" w:rsidRDefault="00095038" w:rsidP="00095038">
            <w:pPr>
              <w:ind w:left="0"/>
            </w:pPr>
          </w:p>
          <w:p w14:paraId="2028BC4D" w14:textId="77777777" w:rsidR="00095038" w:rsidRDefault="00095038" w:rsidP="00095038">
            <w:pPr>
              <w:ind w:left="0"/>
            </w:pPr>
          </w:p>
          <w:p w14:paraId="2693267B" w14:textId="77777777" w:rsidR="00095038" w:rsidRDefault="00095038" w:rsidP="00095038">
            <w:pPr>
              <w:ind w:left="0"/>
            </w:pPr>
          </w:p>
          <w:p w14:paraId="28D88177" w14:textId="55CCA2EC" w:rsidR="00095038" w:rsidRPr="00095038" w:rsidRDefault="00095038" w:rsidP="00095038">
            <w:pPr>
              <w:ind w:left="0"/>
            </w:pPr>
            <w:r w:rsidRPr="00095038">
              <w:t>4.2.1: Capacity for participatory and efficient monitoring and evaluation and adaptive management</w:t>
            </w:r>
          </w:p>
          <w:p w14:paraId="14EB6D94" w14:textId="77777777" w:rsidR="00095038" w:rsidRPr="00095038" w:rsidRDefault="00095038" w:rsidP="00095038">
            <w:pPr>
              <w:ind w:left="0"/>
            </w:pPr>
          </w:p>
          <w:p w14:paraId="26D774D9" w14:textId="77777777" w:rsidR="00095038" w:rsidRPr="00095038" w:rsidRDefault="00095038" w:rsidP="00095038">
            <w:pPr>
              <w:ind w:left="0"/>
            </w:pPr>
          </w:p>
          <w:p w14:paraId="32AA7782" w14:textId="77777777" w:rsidR="00095038" w:rsidRPr="00095038" w:rsidRDefault="00095038" w:rsidP="00095038">
            <w:pPr>
              <w:ind w:left="0"/>
            </w:pPr>
          </w:p>
          <w:p w14:paraId="50B7856D" w14:textId="77777777" w:rsidR="00095038" w:rsidRPr="00095038" w:rsidRDefault="00095038" w:rsidP="00095038">
            <w:pPr>
              <w:ind w:left="0"/>
            </w:pPr>
          </w:p>
          <w:p w14:paraId="2B868037" w14:textId="77777777" w:rsidR="00095038" w:rsidRPr="00095038" w:rsidRDefault="00095038" w:rsidP="00095038">
            <w:pPr>
              <w:ind w:left="0"/>
            </w:pPr>
          </w:p>
          <w:p w14:paraId="61F17ABF" w14:textId="77777777" w:rsidR="00095038" w:rsidRPr="00095038" w:rsidRDefault="00095038" w:rsidP="00095038">
            <w:pPr>
              <w:ind w:left="0"/>
            </w:pPr>
          </w:p>
          <w:p w14:paraId="07FED725" w14:textId="77777777" w:rsidR="00095038" w:rsidRPr="00095038" w:rsidRDefault="00095038" w:rsidP="00095038">
            <w:pPr>
              <w:ind w:left="0"/>
            </w:pPr>
          </w:p>
          <w:p w14:paraId="56904D2E" w14:textId="77777777" w:rsidR="00095038" w:rsidRPr="00095038" w:rsidRDefault="00095038" w:rsidP="00095038">
            <w:pPr>
              <w:ind w:left="0"/>
            </w:pPr>
            <w:r w:rsidRPr="00095038">
              <w:t>4.3.1: Project lessons captured and disseminated to project stakeholders and to other GEF and non-GEF projects and partners</w:t>
            </w:r>
          </w:p>
        </w:tc>
        <w:tc>
          <w:tcPr>
            <w:tcW w:w="283" w:type="pct"/>
            <w:shd w:val="clear" w:color="auto" w:fill="FFFFFF"/>
          </w:tcPr>
          <w:p w14:paraId="78EDB406" w14:textId="77777777" w:rsidR="00095038" w:rsidRPr="00095038" w:rsidRDefault="00095038" w:rsidP="00095038">
            <w:pPr>
              <w:ind w:left="0"/>
            </w:pPr>
            <w:r w:rsidRPr="00095038">
              <w:lastRenderedPageBreak/>
              <w:t>GEFTF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FFFFFF"/>
          </w:tcPr>
          <w:p w14:paraId="522053F9" w14:textId="77777777" w:rsidR="00095038" w:rsidRPr="00095038" w:rsidRDefault="00095038" w:rsidP="00095038">
            <w:pPr>
              <w:ind w:left="0"/>
            </w:pPr>
            <w:r w:rsidRPr="00095038">
              <w:t>956,750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/>
          </w:tcPr>
          <w:p w14:paraId="3D4252CC" w14:textId="77777777" w:rsidR="00095038" w:rsidRPr="00095038" w:rsidRDefault="00095038" w:rsidP="00095038">
            <w:pPr>
              <w:ind w:left="0"/>
            </w:pPr>
            <w:r w:rsidRPr="00095038">
              <w:t>6,088,951</w:t>
            </w:r>
          </w:p>
        </w:tc>
      </w:tr>
      <w:tr w:rsidR="00095038" w:rsidRPr="00095038" w14:paraId="7375BBC1" w14:textId="77777777" w:rsidTr="00095038">
        <w:tc>
          <w:tcPr>
            <w:tcW w:w="3901" w:type="pct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61FC35C" w14:textId="77777777" w:rsidR="00095038" w:rsidRPr="00095038" w:rsidRDefault="00095038" w:rsidP="00095038">
            <w:pPr>
              <w:ind w:left="0"/>
            </w:pPr>
            <w:r w:rsidRPr="00095038">
              <w:t>Subtotal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FFFFFF"/>
          </w:tcPr>
          <w:p w14:paraId="2B967624" w14:textId="77777777" w:rsidR="00095038" w:rsidRPr="00095038" w:rsidRDefault="00095038" w:rsidP="00095038">
            <w:pPr>
              <w:ind w:left="0"/>
            </w:pP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FFFFFF"/>
          </w:tcPr>
          <w:p w14:paraId="463F1520" w14:textId="77777777" w:rsidR="00095038" w:rsidRPr="00095038" w:rsidRDefault="00095038" w:rsidP="00095038">
            <w:pPr>
              <w:ind w:left="0"/>
            </w:pPr>
            <w:r w:rsidRPr="00095038">
              <w:t>6,378,331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/>
          </w:tcPr>
          <w:p w14:paraId="7D1A427D" w14:textId="77777777" w:rsidR="00095038" w:rsidRPr="00095038" w:rsidRDefault="00095038" w:rsidP="00095038">
            <w:pPr>
              <w:ind w:left="0"/>
            </w:pPr>
            <w:r w:rsidRPr="00095038">
              <w:t>40,593,003</w:t>
            </w:r>
          </w:p>
        </w:tc>
      </w:tr>
      <w:tr w:rsidR="00095038" w:rsidRPr="00095038" w14:paraId="3B18F941" w14:textId="77777777" w:rsidTr="00095038">
        <w:tc>
          <w:tcPr>
            <w:tcW w:w="39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0CF2E" w14:textId="77777777" w:rsidR="00095038" w:rsidRPr="00095038" w:rsidRDefault="00095038" w:rsidP="00095038">
            <w:pPr>
              <w:ind w:left="0"/>
            </w:pPr>
            <w:r w:rsidRPr="00095038">
              <w:t>Project Management Cost (PMC)</w:t>
            </w:r>
            <w:r w:rsidRPr="00095038">
              <w:rPr>
                <w:vertAlign w:val="superscript"/>
              </w:rPr>
              <w:footnoteReference w:id="2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8D920" w14:textId="77777777" w:rsidR="00095038" w:rsidRPr="00095038" w:rsidRDefault="00095038" w:rsidP="00095038">
            <w:pPr>
              <w:ind w:left="0"/>
            </w:pPr>
            <w:r w:rsidRPr="00095038">
              <w:t>GEFTF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E6A0F" w14:textId="77777777" w:rsidR="00095038" w:rsidRPr="00095038" w:rsidRDefault="00095038" w:rsidP="00095038">
            <w:pPr>
              <w:ind w:left="0"/>
            </w:pPr>
            <w:r w:rsidRPr="00095038">
              <w:t xml:space="preserve">   318,917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7753A" w14:textId="77777777" w:rsidR="00095038" w:rsidRPr="00095038" w:rsidRDefault="00095038" w:rsidP="00095038">
            <w:pPr>
              <w:ind w:left="0"/>
            </w:pPr>
            <w:r w:rsidRPr="00095038">
              <w:t xml:space="preserve">  2,029,650</w:t>
            </w:r>
          </w:p>
        </w:tc>
      </w:tr>
      <w:tr w:rsidR="00095038" w:rsidRPr="00095038" w14:paraId="4E320402" w14:textId="77777777" w:rsidTr="00095038">
        <w:tc>
          <w:tcPr>
            <w:tcW w:w="3901" w:type="pct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14:paraId="481EFB85" w14:textId="77777777" w:rsidR="00095038" w:rsidRPr="00095038" w:rsidRDefault="00095038" w:rsidP="00095038">
            <w:pPr>
              <w:ind w:left="0"/>
            </w:pPr>
            <w:r w:rsidRPr="00095038">
              <w:t>Total Project Cost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14:paraId="67A3ED0A" w14:textId="77777777" w:rsidR="00095038" w:rsidRPr="00095038" w:rsidRDefault="00095038" w:rsidP="00095038">
            <w:pPr>
              <w:ind w:left="0"/>
            </w:pPr>
          </w:p>
        </w:tc>
        <w:tc>
          <w:tcPr>
            <w:tcW w:w="440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14:paraId="16C97CAA" w14:textId="77777777" w:rsidR="00095038" w:rsidRPr="00095038" w:rsidRDefault="00095038" w:rsidP="00095038">
            <w:pPr>
              <w:ind w:left="0"/>
              <w:rPr>
                <w:b/>
              </w:rPr>
            </w:pPr>
            <w:r w:rsidRPr="00095038">
              <w:rPr>
                <w:b/>
              </w:rPr>
              <w:t>6,697,248</w:t>
            </w:r>
          </w:p>
        </w:tc>
        <w:tc>
          <w:tcPr>
            <w:tcW w:w="376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14:paraId="4AC04C0A" w14:textId="77777777" w:rsidR="00095038" w:rsidRPr="00095038" w:rsidRDefault="00095038" w:rsidP="00095038">
            <w:pPr>
              <w:ind w:left="0"/>
              <w:rPr>
                <w:b/>
              </w:rPr>
            </w:pPr>
            <w:r w:rsidRPr="00095038">
              <w:rPr>
                <w:b/>
              </w:rPr>
              <w:t>42,622,653</w:t>
            </w:r>
          </w:p>
        </w:tc>
      </w:tr>
    </w:tbl>
    <w:p w14:paraId="70E9CB5E" w14:textId="77777777" w:rsidR="00095038" w:rsidRDefault="00095038" w:rsidP="00095038">
      <w:pPr>
        <w:ind w:left="0"/>
      </w:pPr>
    </w:p>
    <w:sectPr w:rsidR="00095038" w:rsidSect="000950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02D44" w14:textId="77777777" w:rsidR="002F588C" w:rsidRDefault="002F588C" w:rsidP="00095038">
      <w:r>
        <w:separator/>
      </w:r>
    </w:p>
  </w:endnote>
  <w:endnote w:type="continuationSeparator" w:id="0">
    <w:p w14:paraId="527A7E21" w14:textId="77777777" w:rsidR="002F588C" w:rsidRDefault="002F588C" w:rsidP="0009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AB855" w14:textId="77777777" w:rsidR="002F588C" w:rsidRDefault="002F588C" w:rsidP="00095038">
      <w:r>
        <w:separator/>
      </w:r>
    </w:p>
  </w:footnote>
  <w:footnote w:type="continuationSeparator" w:id="0">
    <w:p w14:paraId="4FE729C7" w14:textId="77777777" w:rsidR="002F588C" w:rsidRDefault="002F588C" w:rsidP="00095038">
      <w:r>
        <w:continuationSeparator/>
      </w:r>
    </w:p>
  </w:footnote>
  <w:footnote w:id="1">
    <w:p w14:paraId="6FD09B89" w14:textId="77777777" w:rsidR="00095038" w:rsidRPr="00A85CD9" w:rsidRDefault="00095038" w:rsidP="00095038">
      <w:pPr>
        <w:pStyle w:val="FootnoteText"/>
        <w:ind w:left="-720"/>
      </w:pPr>
      <w:r w:rsidRPr="00A85CD9">
        <w:rPr>
          <w:rStyle w:val="FootnoteReference"/>
        </w:rPr>
        <w:footnoteRef/>
      </w:r>
      <w:r w:rsidRPr="00A85CD9">
        <w:t xml:space="preserve">  Financing type can be either investment or technical assistance.</w:t>
      </w:r>
    </w:p>
  </w:footnote>
  <w:footnote w:id="2">
    <w:p w14:paraId="30EBDCAB" w14:textId="77777777" w:rsidR="00095038" w:rsidRDefault="00095038" w:rsidP="00095038">
      <w:pPr>
        <w:pStyle w:val="FootnoteText"/>
        <w:ind w:left="-540" w:right="-540" w:hanging="180"/>
      </w:pPr>
      <w:r w:rsidRPr="00A85CD9">
        <w:rPr>
          <w:rStyle w:val="FootnoteReference"/>
          <w:sz w:val="18"/>
          <w:szCs w:val="18"/>
        </w:rPr>
        <w:footnoteRef/>
      </w:r>
      <w:r w:rsidRPr="00A85CD9">
        <w:rPr>
          <w:sz w:val="18"/>
          <w:szCs w:val="18"/>
        </w:rPr>
        <w:t xml:space="preserve">   For GEF Project Financing up to $2 million, PMC could be up to10%</w:t>
      </w:r>
      <w:r>
        <w:rPr>
          <w:sz w:val="18"/>
          <w:szCs w:val="18"/>
        </w:rPr>
        <w:t xml:space="preserve"> of the </w:t>
      </w:r>
      <w:proofErr w:type="gramStart"/>
      <w:r>
        <w:rPr>
          <w:sz w:val="18"/>
          <w:szCs w:val="18"/>
        </w:rPr>
        <w:t>subtotal</w:t>
      </w:r>
      <w:r w:rsidRPr="00A85CD9">
        <w:rPr>
          <w:sz w:val="18"/>
          <w:szCs w:val="18"/>
        </w:rPr>
        <w:t>;  above</w:t>
      </w:r>
      <w:proofErr w:type="gramEnd"/>
      <w:r w:rsidRPr="00A85CD9">
        <w:rPr>
          <w:sz w:val="18"/>
          <w:szCs w:val="18"/>
        </w:rPr>
        <w:t xml:space="preserve"> $2 million, PMC could be up to 5%</w:t>
      </w:r>
      <w:r>
        <w:rPr>
          <w:sz w:val="18"/>
          <w:szCs w:val="18"/>
        </w:rPr>
        <w:t xml:space="preserve"> of the subtotal</w:t>
      </w:r>
      <w:r w:rsidRPr="00A85CD9">
        <w:rPr>
          <w:sz w:val="18"/>
          <w:szCs w:val="18"/>
        </w:rPr>
        <w:t>. PMC should be charged proportionately to focal areas based on focal area project financing amount in Table D below.</w:t>
      </w:r>
      <w:r w:rsidRPr="00A85CD9">
        <w:rPr>
          <w:sz w:val="18"/>
          <w:szCs w:val="18"/>
        </w:rPr>
        <w:b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B4984"/>
    <w:multiLevelType w:val="hybridMultilevel"/>
    <w:tmpl w:val="06EA9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38"/>
    <w:rsid w:val="00074547"/>
    <w:rsid w:val="00095038"/>
    <w:rsid w:val="002F2B94"/>
    <w:rsid w:val="002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1BAD"/>
  <w15:chartTrackingRefBased/>
  <w15:docId w15:val="{05445980-71A4-46C0-8945-ABCFCF21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Geneva 9,Font: Geneva 9,Boston 10,f,single space,footnote text,Footnote,otnote Text,ft,DNV-FT,fn,ADB,Fußnote,WB-Fußnotentext,WB-Fußnotentext Char Char,Fußnotentext Char,FOOTNOTES,footnote text Char Char,Footnote Text Char1 Char"/>
    <w:basedOn w:val="Normal"/>
    <w:link w:val="FootnoteTextChar"/>
    <w:uiPriority w:val="99"/>
    <w:rsid w:val="00095038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9503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16 Point,Superscript 6 Point,Superscript 6 Point + 11 pt,ftref,fr,BVI fnr,BVI fnr Car Car,BVI fnr Car,BVI fnr Car Car Car Car,Footnote text, BVI fnr, BVI fnr Car Car, BVI fnr Car Car Car Car,Footnote Ref in FtNote,SUPERS,Ref,number"/>
    <w:uiPriority w:val="99"/>
    <w:rsid w:val="0009503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Rachel</dc:creator>
  <cp:keywords/>
  <dc:description/>
  <cp:lastModifiedBy>Kaplan, Rachel</cp:lastModifiedBy>
  <cp:revision>1</cp:revision>
  <dcterms:created xsi:type="dcterms:W3CDTF">2018-08-16T18:29:00Z</dcterms:created>
  <dcterms:modified xsi:type="dcterms:W3CDTF">2018-08-16T18:33:00Z</dcterms:modified>
</cp:coreProperties>
</file>